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kern w:val="0"/>
          <w:sz w:val="72"/>
          <w:szCs w:val="72"/>
        </w:rPr>
      </w:pPr>
    </w:p>
    <w:p>
      <w:pPr>
        <w:spacing w:line="360" w:lineRule="auto"/>
        <w:jc w:val="center"/>
        <w:rPr>
          <w:rFonts w:ascii="宋体" w:hAnsi="宋体" w:cs="宋体"/>
          <w:b/>
          <w:kern w:val="0"/>
          <w:sz w:val="72"/>
          <w:szCs w:val="72"/>
        </w:rPr>
      </w:pPr>
      <w:r>
        <w:rPr>
          <w:rFonts w:hint="eastAsia" w:ascii="宋体" w:hAnsi="宋体" w:cs="宋体"/>
          <w:b/>
          <w:kern w:val="0"/>
          <w:sz w:val="72"/>
          <w:szCs w:val="72"/>
        </w:rPr>
        <w:t>清华大学继续教育学院</w:t>
      </w:r>
    </w:p>
    <w:p>
      <w:pPr>
        <w:spacing w:line="360" w:lineRule="auto"/>
        <w:jc w:val="center"/>
        <w:rPr>
          <w:rFonts w:ascii="宋体" w:hAnsi="宋体" w:cs="宋体"/>
          <w:b/>
          <w:kern w:val="0"/>
          <w:sz w:val="72"/>
          <w:szCs w:val="72"/>
        </w:rPr>
      </w:pPr>
      <w:r>
        <w:rPr>
          <w:rFonts w:hint="eastAsia" w:ascii="宋体" w:hAnsi="宋体" w:cs="宋体"/>
          <w:b/>
          <w:kern w:val="0"/>
          <w:sz w:val="72"/>
          <w:szCs w:val="72"/>
        </w:rPr>
        <w:t>黑色手提包购置项目</w:t>
      </w:r>
    </w:p>
    <w:p>
      <w:pPr>
        <w:spacing w:line="360" w:lineRule="auto"/>
        <w:jc w:val="center"/>
        <w:rPr>
          <w:rFonts w:ascii="宋体" w:hAnsi="宋体" w:cs="宋体"/>
          <w:b/>
          <w:kern w:val="0"/>
          <w:sz w:val="72"/>
          <w:szCs w:val="72"/>
        </w:rPr>
      </w:pPr>
    </w:p>
    <w:p>
      <w:pPr>
        <w:spacing w:line="360" w:lineRule="auto"/>
        <w:jc w:val="center"/>
        <w:rPr>
          <w:rFonts w:ascii="宋体" w:hAnsi="宋体" w:cs="宋体"/>
          <w:b/>
          <w:kern w:val="0"/>
          <w:sz w:val="72"/>
          <w:szCs w:val="72"/>
        </w:rPr>
      </w:pPr>
      <w:r>
        <w:rPr>
          <w:rFonts w:hint="eastAsia" w:ascii="宋体" w:hAnsi="宋体"/>
          <w:b/>
          <w:bCs/>
          <w:sz w:val="72"/>
          <w:szCs w:val="72"/>
        </w:rPr>
        <w:t>竞争性磋商文件</w:t>
      </w:r>
    </w:p>
    <w:p>
      <w:pPr>
        <w:spacing w:line="360" w:lineRule="auto"/>
        <w:jc w:val="center"/>
        <w:rPr>
          <w:rFonts w:ascii="宋体" w:hAnsi="宋体"/>
          <w:b/>
          <w:sz w:val="32"/>
          <w:szCs w:val="32"/>
        </w:rPr>
      </w:pPr>
      <w:r>
        <w:rPr>
          <w:rFonts w:hint="eastAsia" w:ascii="宋体" w:hAnsi="宋体"/>
          <w:b/>
          <w:sz w:val="32"/>
          <w:szCs w:val="32"/>
        </w:rPr>
        <w:t>项目编号：</w:t>
      </w:r>
      <w:r>
        <w:rPr>
          <w:rFonts w:ascii="宋体" w:hAnsi="宋体"/>
          <w:b/>
          <w:sz w:val="32"/>
          <w:szCs w:val="32"/>
        </w:rPr>
        <w:t>BIECC-23ZB0409</w:t>
      </w:r>
    </w:p>
    <w:p>
      <w:pPr>
        <w:spacing w:line="360" w:lineRule="auto"/>
        <w:rPr>
          <w:rFonts w:ascii="宋体" w:hAnsi="宋体"/>
          <w:b/>
          <w:bCs/>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480" w:lineRule="auto"/>
        <w:jc w:val="center"/>
        <w:rPr>
          <w:rFonts w:ascii="宋体" w:hAnsi="宋体"/>
          <w:b/>
          <w:sz w:val="32"/>
          <w:szCs w:val="32"/>
        </w:rPr>
      </w:pPr>
      <w:r>
        <w:rPr>
          <w:rFonts w:hint="eastAsia" w:ascii="宋体" w:hAnsi="宋体"/>
          <w:b/>
          <w:sz w:val="32"/>
          <w:szCs w:val="32"/>
        </w:rPr>
        <w:t>采购人：清华大学</w:t>
      </w:r>
    </w:p>
    <w:p>
      <w:pPr>
        <w:spacing w:line="480" w:lineRule="auto"/>
        <w:jc w:val="center"/>
        <w:rPr>
          <w:rFonts w:ascii="宋体" w:hAnsi="宋体"/>
          <w:b/>
          <w:sz w:val="32"/>
          <w:szCs w:val="32"/>
        </w:rPr>
      </w:pPr>
      <w:r>
        <w:rPr>
          <w:rFonts w:hint="eastAsia" w:ascii="宋体" w:hAnsi="宋体"/>
          <w:b/>
          <w:sz w:val="32"/>
          <w:szCs w:val="32"/>
        </w:rPr>
        <w:t>采购代理机构：北京国际工程咨询有限公司</w:t>
      </w:r>
    </w:p>
    <w:p>
      <w:pPr>
        <w:spacing w:line="480" w:lineRule="auto"/>
        <w:jc w:val="center"/>
        <w:rPr>
          <w:rFonts w:ascii="宋体" w:hAnsi="宋体"/>
          <w:b/>
          <w:sz w:val="32"/>
          <w:szCs w:val="32"/>
        </w:rPr>
      </w:pPr>
    </w:p>
    <w:p>
      <w:pPr>
        <w:spacing w:line="480" w:lineRule="auto"/>
        <w:jc w:val="center"/>
        <w:rPr>
          <w:rFonts w:ascii="宋体" w:hAnsi="宋体"/>
          <w:b/>
          <w:sz w:val="32"/>
          <w:szCs w:val="32"/>
        </w:rPr>
        <w:sectPr>
          <w:headerReference r:id="rId4" w:type="first"/>
          <w:headerReference r:id="rId3" w:type="default"/>
          <w:footerReference r:id="rId5" w:type="default"/>
          <w:footerReference r:id="rId6" w:type="even"/>
          <w:pgSz w:w="11906" w:h="16838"/>
          <w:pgMar w:top="1304" w:right="1230" w:bottom="1191" w:left="1469" w:header="993" w:footer="1134" w:gutter="0"/>
          <w:pgNumType w:start="1"/>
          <w:cols w:space="720" w:num="1"/>
          <w:titlePg/>
        </w:sectPr>
      </w:pPr>
      <w:r>
        <w:rPr>
          <w:rFonts w:hint="eastAsia" w:ascii="宋体" w:hAnsi="宋体"/>
          <w:b/>
          <w:sz w:val="32"/>
          <w:szCs w:val="32"/>
        </w:rPr>
        <w:t>20</w:t>
      </w:r>
      <w:r>
        <w:rPr>
          <w:rFonts w:ascii="宋体" w:hAnsi="宋体"/>
          <w:b/>
          <w:sz w:val="32"/>
          <w:szCs w:val="32"/>
        </w:rPr>
        <w:t>23</w:t>
      </w:r>
      <w:r>
        <w:rPr>
          <w:rFonts w:hint="eastAsia" w:ascii="宋体" w:hAnsi="宋体"/>
          <w:b/>
          <w:sz w:val="32"/>
          <w:szCs w:val="32"/>
        </w:rPr>
        <w:t>年</w:t>
      </w:r>
      <w:r>
        <w:rPr>
          <w:rFonts w:ascii="宋体" w:hAnsi="宋体"/>
          <w:b/>
          <w:sz w:val="32"/>
          <w:szCs w:val="32"/>
        </w:rPr>
        <w:t>9</w:t>
      </w:r>
      <w:r>
        <w:rPr>
          <w:rFonts w:hint="eastAsia" w:ascii="宋体" w:hAnsi="宋体"/>
          <w:b/>
          <w:sz w:val="32"/>
          <w:szCs w:val="32"/>
        </w:rPr>
        <w:t>月</w:t>
      </w:r>
    </w:p>
    <w:p>
      <w:pPr>
        <w:pStyle w:val="60"/>
        <w:spacing w:line="360" w:lineRule="auto"/>
        <w:jc w:val="center"/>
        <w:rPr>
          <w:rFonts w:ascii="宋体" w:hAnsi="宋体"/>
          <w:color w:val="auto"/>
          <w:sz w:val="32"/>
          <w:szCs w:val="32"/>
        </w:rPr>
      </w:pPr>
      <w:r>
        <w:rPr>
          <w:rFonts w:ascii="宋体" w:hAnsi="宋体"/>
          <w:color w:val="auto"/>
          <w:sz w:val="32"/>
          <w:szCs w:val="32"/>
          <w:lang w:val="zh-CN"/>
        </w:rPr>
        <w:t>目</w:t>
      </w:r>
      <w:r>
        <w:rPr>
          <w:rFonts w:hint="eastAsia" w:ascii="宋体" w:hAnsi="宋体"/>
          <w:color w:val="auto"/>
          <w:sz w:val="32"/>
          <w:szCs w:val="32"/>
          <w:lang w:val="zh-CN"/>
        </w:rPr>
        <w:t xml:space="preserve">    </w:t>
      </w:r>
      <w:r>
        <w:rPr>
          <w:rFonts w:ascii="宋体" w:hAnsi="宋体"/>
          <w:color w:val="auto"/>
          <w:sz w:val="32"/>
          <w:szCs w:val="32"/>
          <w:lang w:val="zh-CN"/>
        </w:rPr>
        <w:t>录</w:t>
      </w:r>
    </w:p>
    <w:p>
      <w:pPr>
        <w:pStyle w:val="31"/>
        <w:tabs>
          <w:tab w:val="right" w:leader="dot" w:pos="8297"/>
        </w:tabs>
        <w:rPr>
          <w:rFonts w:asciiTheme="minorHAnsi" w:hAnsiTheme="minorHAnsi" w:eastAsiaTheme="minorEastAsia" w:cstheme="minorBidi"/>
          <w:szCs w:val="22"/>
          <w14:ligatures w14:val="standardContextual"/>
        </w:rPr>
      </w:pPr>
      <w:r>
        <w:rPr>
          <w:rFonts w:ascii="宋体" w:hAnsi="宋体"/>
        </w:rPr>
        <w:fldChar w:fldCharType="begin"/>
      </w:r>
      <w:r>
        <w:rPr>
          <w:rStyle w:val="306"/>
          <w:rFonts w:ascii="宋体" w:hAnsi="宋体"/>
        </w:rPr>
        <w:instrText xml:space="preserve"> TOC \o "1-3" \h \z \u </w:instrText>
      </w:r>
      <w:r>
        <w:rPr>
          <w:rFonts w:ascii="宋体" w:hAnsi="宋体"/>
        </w:rPr>
        <w:fldChar w:fldCharType="separate"/>
      </w:r>
      <w:r>
        <w:fldChar w:fldCharType="begin"/>
      </w:r>
      <w:r>
        <w:instrText xml:space="preserve"> HYPERLINK \l "_Toc146043852" </w:instrText>
      </w:r>
      <w:r>
        <w:fldChar w:fldCharType="separate"/>
      </w:r>
      <w:r>
        <w:rPr>
          <w:rStyle w:val="57"/>
          <w:rFonts w:ascii="宋体" w:hAnsi="宋体"/>
        </w:rPr>
        <w:t>第一章  竞争性磋商邀请</w:t>
      </w:r>
      <w:r>
        <w:tab/>
      </w:r>
      <w:r>
        <w:fldChar w:fldCharType="begin"/>
      </w:r>
      <w:r>
        <w:instrText xml:space="preserve"> PAGEREF _Toc146043852 \h </w:instrText>
      </w:r>
      <w:r>
        <w:fldChar w:fldCharType="separate"/>
      </w:r>
      <w:r>
        <w:t>4</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"_Toc146043853" </w:instrText>
      </w:r>
      <w:r>
        <w:fldChar w:fldCharType="separate"/>
      </w:r>
      <w:r>
        <w:rPr>
          <w:rStyle w:val="57"/>
          <w:rFonts w:cs="宋体"/>
        </w:rPr>
        <w:t>一、项目基本情况</w:t>
      </w:r>
      <w:r>
        <w:tab/>
      </w:r>
      <w:r>
        <w:fldChar w:fldCharType="begin"/>
      </w:r>
      <w:r>
        <w:instrText xml:space="preserve"> PAGEREF _Toc146043853 \h </w:instrText>
      </w:r>
      <w:r>
        <w:fldChar w:fldCharType="separate"/>
      </w:r>
      <w:r>
        <w:t>4</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"_Toc146043854" </w:instrText>
      </w:r>
      <w:r>
        <w:fldChar w:fldCharType="separate"/>
      </w:r>
      <w:r>
        <w:rPr>
          <w:rStyle w:val="57"/>
          <w:rFonts w:cs="宋体"/>
        </w:rPr>
        <w:t>二、申请人的资格要求</w:t>
      </w:r>
      <w:r>
        <w:tab/>
      </w:r>
      <w:r>
        <w:fldChar w:fldCharType="begin"/>
      </w:r>
      <w:r>
        <w:instrText xml:space="preserve"> PAGEREF _Toc146043854 \h </w:instrText>
      </w:r>
      <w:r>
        <w:fldChar w:fldCharType="separate"/>
      </w:r>
      <w:r>
        <w:t>4</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"_Toc146043855" </w:instrText>
      </w:r>
      <w:r>
        <w:fldChar w:fldCharType="separate"/>
      </w:r>
      <w:r>
        <w:rPr>
          <w:rStyle w:val="57"/>
          <w:rFonts w:cs="宋体"/>
        </w:rPr>
        <w:t>三、获取采购文件</w:t>
      </w:r>
      <w:r>
        <w:tab/>
      </w:r>
      <w:r>
        <w:fldChar w:fldCharType="begin"/>
      </w:r>
      <w:r>
        <w:instrText xml:space="preserve"> PAGEREF _Toc146043855 \h </w:instrText>
      </w:r>
      <w:r>
        <w:fldChar w:fldCharType="separate"/>
      </w:r>
      <w:r>
        <w:t>4</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"_Toc146043856" </w:instrText>
      </w:r>
      <w:r>
        <w:fldChar w:fldCharType="separate"/>
      </w:r>
      <w:r>
        <w:rPr>
          <w:rStyle w:val="57"/>
          <w:rFonts w:cs="宋体"/>
        </w:rPr>
        <w:t>四、响应文件提交</w:t>
      </w:r>
      <w:r>
        <w:tab/>
      </w:r>
      <w:r>
        <w:fldChar w:fldCharType="begin"/>
      </w:r>
      <w:r>
        <w:instrText xml:space="preserve"> PAGEREF _Toc146043856 \h </w:instrText>
      </w:r>
      <w:r>
        <w:fldChar w:fldCharType="separate"/>
      </w:r>
      <w:r>
        <w:t>5</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"_Toc146043857" </w:instrText>
      </w:r>
      <w:r>
        <w:fldChar w:fldCharType="separate"/>
      </w:r>
      <w:r>
        <w:rPr>
          <w:rStyle w:val="57"/>
          <w:rFonts w:cs="宋体"/>
        </w:rPr>
        <w:t>五、开启</w:t>
      </w:r>
      <w:r>
        <w:tab/>
      </w:r>
      <w:r>
        <w:fldChar w:fldCharType="begin"/>
      </w:r>
      <w:r>
        <w:instrText xml:space="preserve"> PAGEREF _Toc146043857 \h </w:instrText>
      </w:r>
      <w:r>
        <w:fldChar w:fldCharType="separate"/>
      </w:r>
      <w:r>
        <w:t>5</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"_Toc146043858" </w:instrText>
      </w:r>
      <w:r>
        <w:fldChar w:fldCharType="separate"/>
      </w:r>
      <w:r>
        <w:rPr>
          <w:rStyle w:val="57"/>
          <w:rFonts w:cs="宋体"/>
        </w:rPr>
        <w:t>六、公告期限</w:t>
      </w:r>
      <w:r>
        <w:tab/>
      </w:r>
      <w:r>
        <w:fldChar w:fldCharType="begin"/>
      </w:r>
      <w:r>
        <w:instrText xml:space="preserve"> PAGEREF _Toc146043858 \h </w:instrText>
      </w:r>
      <w:r>
        <w:fldChar w:fldCharType="separate"/>
      </w:r>
      <w:r>
        <w:t>5</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"_Toc146043859" </w:instrText>
      </w:r>
      <w:r>
        <w:fldChar w:fldCharType="separate"/>
      </w:r>
      <w:r>
        <w:rPr>
          <w:rStyle w:val="57"/>
          <w:rFonts w:cs="宋体"/>
        </w:rPr>
        <w:t>七、其他补充事宜</w:t>
      </w:r>
      <w:r>
        <w:tab/>
      </w:r>
      <w:r>
        <w:fldChar w:fldCharType="begin"/>
      </w:r>
      <w:r>
        <w:instrText xml:space="preserve"> PAGEREF _Toc146043859 \h </w:instrText>
      </w:r>
      <w:r>
        <w:fldChar w:fldCharType="separate"/>
      </w:r>
      <w:r>
        <w:t>5</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"_Toc146043860" </w:instrText>
      </w:r>
      <w:r>
        <w:fldChar w:fldCharType="separate"/>
      </w:r>
      <w:r>
        <w:rPr>
          <w:rStyle w:val="57"/>
          <w:rFonts w:cs="宋体"/>
        </w:rPr>
        <w:t>八、凡对本次采购提出询问，请按以下方式联系</w:t>
      </w:r>
      <w:r>
        <w:tab/>
      </w:r>
      <w:r>
        <w:fldChar w:fldCharType="begin"/>
      </w:r>
      <w:r>
        <w:instrText xml:space="preserve"> PAGEREF _Toc146043860 \h </w:instrText>
      </w:r>
      <w:r>
        <w:fldChar w:fldCharType="separate"/>
      </w:r>
      <w:r>
        <w:t>6</w:t>
      </w:r>
      <w:r>
        <w:fldChar w:fldCharType="end"/>
      </w:r>
      <w:r>
        <w:fldChar w:fldCharType="end"/>
      </w:r>
    </w:p>
    <w:p>
      <w:pPr>
        <w:pStyle w:val="31"/>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"_Toc146043861" </w:instrText>
      </w:r>
      <w:r>
        <w:fldChar w:fldCharType="separate"/>
      </w:r>
      <w:r>
        <w:rPr>
          <w:rStyle w:val="57"/>
          <w:rFonts w:ascii="宋体" w:hAnsi="宋体"/>
        </w:rPr>
        <w:t>第二章  供应商须知资料表</w:t>
      </w:r>
      <w:r>
        <w:tab/>
      </w:r>
      <w:r>
        <w:fldChar w:fldCharType="begin"/>
      </w:r>
      <w:r>
        <w:instrText xml:space="preserve"> PAGEREF _Toc146043861 \h </w:instrText>
      </w:r>
      <w:r>
        <w:fldChar w:fldCharType="separate"/>
      </w:r>
      <w:r>
        <w:t>7</w:t>
      </w:r>
      <w:r>
        <w:fldChar w:fldCharType="end"/>
      </w:r>
      <w:r>
        <w:fldChar w:fldCharType="end"/>
      </w:r>
    </w:p>
    <w:p>
      <w:pPr>
        <w:pStyle w:val="31"/>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"_Toc146043862" </w:instrText>
      </w:r>
      <w:r>
        <w:fldChar w:fldCharType="separate"/>
      </w:r>
      <w:r>
        <w:rPr>
          <w:rStyle w:val="57"/>
          <w:rFonts w:ascii="宋体" w:hAnsi="宋体"/>
        </w:rPr>
        <w:t>第三章  供应商须知</w:t>
      </w:r>
      <w:r>
        <w:tab/>
      </w:r>
      <w:r>
        <w:fldChar w:fldCharType="begin"/>
      </w:r>
      <w:r>
        <w:instrText xml:space="preserve"> PAGEREF _Toc146043862 \h </w:instrText>
      </w:r>
      <w:r>
        <w:fldChar w:fldCharType="separate"/>
      </w:r>
      <w:r>
        <w:t>10</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"_Toc146043863" </w:instrText>
      </w:r>
      <w:r>
        <w:fldChar w:fldCharType="separate"/>
      </w:r>
      <w:r>
        <w:rPr>
          <w:rStyle w:val="57"/>
        </w:rPr>
        <w:t>一、说明</w:t>
      </w:r>
      <w:r>
        <w:tab/>
      </w:r>
      <w:r>
        <w:fldChar w:fldCharType="begin"/>
      </w:r>
      <w:r>
        <w:instrText xml:space="preserve"> PAGEREF _Toc146043863 \h </w:instrText>
      </w:r>
      <w:r>
        <w:fldChar w:fldCharType="separate"/>
      </w:r>
      <w:r>
        <w:t>10</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"_Toc146043864" </w:instrText>
      </w:r>
      <w:r>
        <w:fldChar w:fldCharType="separate"/>
      </w:r>
      <w:r>
        <w:rPr>
          <w:rStyle w:val="57"/>
          <w:rFonts w:ascii="宋体" w:hAnsi="宋体"/>
        </w:rPr>
        <w:t>1. 采购人、采购代理机构及资金来源</w:t>
      </w:r>
      <w:r>
        <w:tab/>
      </w:r>
      <w:r>
        <w:fldChar w:fldCharType="begin"/>
      </w:r>
      <w:r>
        <w:instrText xml:space="preserve"> PAGEREF _Toc146043864 \h </w:instrText>
      </w:r>
      <w:r>
        <w:fldChar w:fldCharType="separate"/>
      </w:r>
      <w:r>
        <w:t>10</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"_Toc146043865" </w:instrText>
      </w:r>
      <w:r>
        <w:fldChar w:fldCharType="separate"/>
      </w:r>
      <w:r>
        <w:rPr>
          <w:rStyle w:val="57"/>
          <w:rFonts w:ascii="宋体" w:hAnsi="宋体"/>
        </w:rPr>
        <w:t>2. 合格的供应商</w:t>
      </w:r>
      <w:r>
        <w:tab/>
      </w:r>
      <w:r>
        <w:fldChar w:fldCharType="begin"/>
      </w:r>
      <w:r>
        <w:instrText xml:space="preserve"> PAGEREF _Toc146043865 \h </w:instrText>
      </w:r>
      <w:r>
        <w:fldChar w:fldCharType="separate"/>
      </w:r>
      <w:r>
        <w:t>10</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"_Toc146043866" </w:instrText>
      </w:r>
      <w:r>
        <w:fldChar w:fldCharType="separate"/>
      </w:r>
      <w:r>
        <w:rPr>
          <w:rStyle w:val="57"/>
          <w:rFonts w:ascii="宋体" w:hAnsi="宋体"/>
        </w:rPr>
        <w:t>3. 磋商费用</w:t>
      </w:r>
      <w:r>
        <w:tab/>
      </w:r>
      <w:r>
        <w:fldChar w:fldCharType="begin"/>
      </w:r>
      <w:r>
        <w:instrText xml:space="preserve"> PAGEREF _Toc146043866 \h </w:instrText>
      </w:r>
      <w:r>
        <w:fldChar w:fldCharType="separate"/>
      </w:r>
      <w:r>
        <w:t>12</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"_Toc146043867" </w:instrText>
      </w:r>
      <w:r>
        <w:fldChar w:fldCharType="separate"/>
      </w:r>
      <w:r>
        <w:rPr>
          <w:rStyle w:val="57"/>
        </w:rPr>
        <w:t>二、竞争性磋商文件</w:t>
      </w:r>
      <w:r>
        <w:tab/>
      </w:r>
      <w:r>
        <w:fldChar w:fldCharType="begin"/>
      </w:r>
      <w:r>
        <w:instrText xml:space="preserve"> PAGEREF _Toc146043867 \h </w:instrText>
      </w:r>
      <w:r>
        <w:fldChar w:fldCharType="separate"/>
      </w:r>
      <w:r>
        <w:t>12</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"_Toc146043868" </w:instrText>
      </w:r>
      <w:r>
        <w:fldChar w:fldCharType="separate"/>
      </w:r>
      <w:r>
        <w:rPr>
          <w:rStyle w:val="57"/>
          <w:rFonts w:ascii="宋体" w:hAnsi="宋体"/>
        </w:rPr>
        <w:t>4. 竞争性磋商文件构成</w:t>
      </w:r>
      <w:r>
        <w:tab/>
      </w:r>
      <w:r>
        <w:fldChar w:fldCharType="begin"/>
      </w:r>
      <w:r>
        <w:instrText xml:space="preserve"> PAGEREF _Toc146043868 \h </w:instrText>
      </w:r>
      <w:r>
        <w:fldChar w:fldCharType="separate"/>
      </w:r>
      <w:r>
        <w:t>12</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"_Toc146043869" </w:instrText>
      </w:r>
      <w:r>
        <w:fldChar w:fldCharType="separate"/>
      </w:r>
      <w:r>
        <w:rPr>
          <w:rStyle w:val="57"/>
          <w:rFonts w:ascii="宋体" w:hAnsi="宋体"/>
        </w:rPr>
        <w:t>5. 竞争性磋商文件的澄清</w:t>
      </w:r>
      <w:r>
        <w:tab/>
      </w:r>
      <w:r>
        <w:fldChar w:fldCharType="begin"/>
      </w:r>
      <w:r>
        <w:instrText xml:space="preserve"> PAGEREF _Toc146043869 \h </w:instrText>
      </w:r>
      <w:r>
        <w:fldChar w:fldCharType="separate"/>
      </w:r>
      <w:r>
        <w:t>13</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"_Toc146043870" </w:instrText>
      </w:r>
      <w:r>
        <w:fldChar w:fldCharType="separate"/>
      </w:r>
      <w:r>
        <w:rPr>
          <w:rStyle w:val="57"/>
          <w:rFonts w:ascii="宋体" w:hAnsi="宋体"/>
        </w:rPr>
        <w:t>6. 对竞争性磋商文件的修改</w:t>
      </w:r>
      <w:r>
        <w:tab/>
      </w:r>
      <w:r>
        <w:fldChar w:fldCharType="begin"/>
      </w:r>
      <w:r>
        <w:instrText xml:space="preserve"> PAGEREF _Toc146043870 \h </w:instrText>
      </w:r>
      <w:r>
        <w:fldChar w:fldCharType="separate"/>
      </w:r>
      <w:r>
        <w:t>13</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"_Toc146043871" </w:instrText>
      </w:r>
      <w:r>
        <w:fldChar w:fldCharType="separate"/>
      </w:r>
      <w:r>
        <w:rPr>
          <w:rStyle w:val="57"/>
        </w:rPr>
        <w:t>三、响应文件的编制</w:t>
      </w:r>
      <w:r>
        <w:tab/>
      </w:r>
      <w:r>
        <w:fldChar w:fldCharType="begin"/>
      </w:r>
      <w:r>
        <w:instrText xml:space="preserve"> PAGEREF _Toc146043871 \h </w:instrText>
      </w:r>
      <w:r>
        <w:fldChar w:fldCharType="separate"/>
      </w:r>
      <w:r>
        <w:t>13</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"_Toc146043872" </w:instrText>
      </w:r>
      <w:r>
        <w:fldChar w:fldCharType="separate"/>
      </w:r>
      <w:r>
        <w:rPr>
          <w:rStyle w:val="57"/>
          <w:rFonts w:ascii="宋体" w:hAnsi="宋体"/>
        </w:rPr>
        <w:t>7. 语言</w:t>
      </w:r>
      <w:r>
        <w:tab/>
      </w:r>
      <w:r>
        <w:fldChar w:fldCharType="begin"/>
      </w:r>
      <w:r>
        <w:instrText xml:space="preserve"> PAGEREF _Toc146043872 \h </w:instrText>
      </w:r>
      <w:r>
        <w:fldChar w:fldCharType="separate"/>
      </w:r>
      <w:r>
        <w:t>13</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"_Toc146043873" </w:instrText>
      </w:r>
      <w:r>
        <w:fldChar w:fldCharType="separate"/>
      </w:r>
      <w:r>
        <w:rPr>
          <w:rStyle w:val="57"/>
          <w:rFonts w:ascii="宋体" w:hAnsi="宋体"/>
        </w:rPr>
        <w:t>8. 响应文件构成</w:t>
      </w:r>
      <w:r>
        <w:tab/>
      </w:r>
      <w:r>
        <w:fldChar w:fldCharType="begin"/>
      </w:r>
      <w:r>
        <w:instrText xml:space="preserve"> PAGEREF _Toc146043873 \h </w:instrText>
      </w:r>
      <w:r>
        <w:fldChar w:fldCharType="separate"/>
      </w:r>
      <w:r>
        <w:t>13</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"_Toc146043874" </w:instrText>
      </w:r>
      <w:r>
        <w:fldChar w:fldCharType="separate"/>
      </w:r>
      <w:r>
        <w:rPr>
          <w:rStyle w:val="57"/>
          <w:rFonts w:ascii="宋体" w:hAnsi="宋体"/>
        </w:rPr>
        <w:t>9. 报价</w:t>
      </w:r>
      <w:r>
        <w:tab/>
      </w:r>
      <w:r>
        <w:fldChar w:fldCharType="begin"/>
      </w:r>
      <w:r>
        <w:instrText xml:space="preserve"> PAGEREF _Toc146043874 \h </w:instrText>
      </w:r>
      <w:r>
        <w:fldChar w:fldCharType="separate"/>
      </w:r>
      <w:r>
        <w:t>15</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"_Toc146043875" </w:instrText>
      </w:r>
      <w:r>
        <w:fldChar w:fldCharType="separate"/>
      </w:r>
      <w:r>
        <w:rPr>
          <w:rStyle w:val="57"/>
          <w:rFonts w:ascii="宋体" w:hAnsi="宋体"/>
        </w:rPr>
        <w:t>10. 报价币种</w:t>
      </w:r>
      <w:r>
        <w:tab/>
      </w:r>
      <w:r>
        <w:fldChar w:fldCharType="begin"/>
      </w:r>
      <w:r>
        <w:instrText xml:space="preserve"> PAGEREF _Toc146043875 \h </w:instrText>
      </w:r>
      <w:r>
        <w:fldChar w:fldCharType="separate"/>
      </w:r>
      <w:r>
        <w:t>15</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"_Toc146043876" </w:instrText>
      </w:r>
      <w:r>
        <w:fldChar w:fldCharType="separate"/>
      </w:r>
      <w:r>
        <w:rPr>
          <w:rStyle w:val="57"/>
          <w:rFonts w:ascii="宋体" w:hAnsi="宋体"/>
        </w:rPr>
        <w:t>11. 磋商保证金</w:t>
      </w:r>
      <w:r>
        <w:tab/>
      </w:r>
      <w:r>
        <w:fldChar w:fldCharType="begin"/>
      </w:r>
      <w:r>
        <w:instrText xml:space="preserve"> PAGEREF _Toc146043876 \h </w:instrText>
      </w:r>
      <w:r>
        <w:fldChar w:fldCharType="separate"/>
      </w:r>
      <w:r>
        <w:t>15</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"_Toc146043877" </w:instrText>
      </w:r>
      <w:r>
        <w:fldChar w:fldCharType="separate"/>
      </w:r>
      <w:r>
        <w:rPr>
          <w:rStyle w:val="57"/>
          <w:rFonts w:ascii="宋体" w:hAnsi="宋体"/>
        </w:rPr>
        <w:t>12. 响应文件有效期</w:t>
      </w:r>
      <w:r>
        <w:tab/>
      </w:r>
      <w:r>
        <w:fldChar w:fldCharType="begin"/>
      </w:r>
      <w:r>
        <w:instrText xml:space="preserve"> PAGEREF _Toc146043877 \h </w:instrText>
      </w:r>
      <w:r>
        <w:fldChar w:fldCharType="separate"/>
      </w:r>
      <w:r>
        <w:t>16</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"_Toc146043878" </w:instrText>
      </w:r>
      <w:r>
        <w:fldChar w:fldCharType="separate"/>
      </w:r>
      <w:r>
        <w:rPr>
          <w:rStyle w:val="57"/>
        </w:rPr>
        <w:t>四、响应文件的递交</w:t>
      </w:r>
      <w:r>
        <w:tab/>
      </w:r>
      <w:r>
        <w:fldChar w:fldCharType="begin"/>
      </w:r>
      <w:r>
        <w:instrText xml:space="preserve"> PAGEREF _Toc146043878 \h </w:instrText>
      </w:r>
      <w:r>
        <w:fldChar w:fldCharType="separate"/>
      </w:r>
      <w:r>
        <w:t>16</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"_Toc146043879" </w:instrText>
      </w:r>
      <w:r>
        <w:fldChar w:fldCharType="separate"/>
      </w:r>
      <w:r>
        <w:rPr>
          <w:rStyle w:val="57"/>
          <w:rFonts w:ascii="宋体" w:hAnsi="宋体"/>
        </w:rPr>
        <w:t>13. 响应文件递交截止期</w:t>
      </w:r>
      <w:r>
        <w:tab/>
      </w:r>
      <w:r>
        <w:fldChar w:fldCharType="begin"/>
      </w:r>
      <w:r>
        <w:instrText xml:space="preserve"> PAGEREF _Toc146043879 \h </w:instrText>
      </w:r>
      <w:r>
        <w:fldChar w:fldCharType="separate"/>
      </w:r>
      <w:r>
        <w:t>16</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"_Toc146043880" </w:instrText>
      </w:r>
      <w:r>
        <w:fldChar w:fldCharType="separate"/>
      </w:r>
      <w:r>
        <w:rPr>
          <w:rStyle w:val="57"/>
        </w:rPr>
        <w:t>五、磋商</w:t>
      </w:r>
      <w:r>
        <w:tab/>
      </w:r>
      <w:r>
        <w:fldChar w:fldCharType="begin"/>
      </w:r>
      <w:r>
        <w:instrText xml:space="preserve"> PAGEREF _Toc146043880 \h </w:instrText>
      </w:r>
      <w:r>
        <w:fldChar w:fldCharType="separate"/>
      </w:r>
      <w:r>
        <w:t>16</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"_Toc146043881" </w:instrText>
      </w:r>
      <w:r>
        <w:fldChar w:fldCharType="separate"/>
      </w:r>
      <w:r>
        <w:rPr>
          <w:rStyle w:val="57"/>
          <w:rFonts w:ascii="宋体" w:hAnsi="宋体"/>
        </w:rPr>
        <w:t>14. 磋商小组</w:t>
      </w:r>
      <w:r>
        <w:tab/>
      </w:r>
      <w:r>
        <w:fldChar w:fldCharType="begin"/>
      </w:r>
      <w:r>
        <w:instrText xml:space="preserve"> PAGEREF _Toc146043881 \h </w:instrText>
      </w:r>
      <w:r>
        <w:fldChar w:fldCharType="separate"/>
      </w:r>
      <w:r>
        <w:t>16</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"_Toc146043882" </w:instrText>
      </w:r>
      <w:r>
        <w:fldChar w:fldCharType="separate"/>
      </w:r>
      <w:r>
        <w:rPr>
          <w:rStyle w:val="57"/>
          <w:rFonts w:ascii="宋体" w:hAnsi="宋体"/>
        </w:rPr>
        <w:t>15. 磋商时间和顺序</w:t>
      </w:r>
      <w:r>
        <w:tab/>
      </w:r>
      <w:r>
        <w:fldChar w:fldCharType="begin"/>
      </w:r>
      <w:r>
        <w:instrText xml:space="preserve"> PAGEREF _Toc146043882 \h </w:instrText>
      </w:r>
      <w:r>
        <w:fldChar w:fldCharType="separate"/>
      </w:r>
      <w:r>
        <w:t>17</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"_Toc146043883" </w:instrText>
      </w:r>
      <w:r>
        <w:fldChar w:fldCharType="separate"/>
      </w:r>
      <w:r>
        <w:rPr>
          <w:rStyle w:val="57"/>
          <w:rFonts w:ascii="宋体" w:hAnsi="宋体"/>
        </w:rPr>
        <w:t>16.对供应商的资格审查</w:t>
      </w:r>
      <w:r>
        <w:tab/>
      </w:r>
      <w:r>
        <w:fldChar w:fldCharType="begin"/>
      </w:r>
      <w:r>
        <w:instrText xml:space="preserve"> PAGEREF _Toc146043883 \h </w:instrText>
      </w:r>
      <w:r>
        <w:fldChar w:fldCharType="separate"/>
      </w:r>
      <w:r>
        <w:t>17</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"_Toc146043884" </w:instrText>
      </w:r>
      <w:r>
        <w:fldChar w:fldCharType="separate"/>
      </w:r>
      <w:r>
        <w:rPr>
          <w:rStyle w:val="57"/>
          <w:rFonts w:ascii="宋体" w:hAnsi="宋体"/>
        </w:rPr>
        <w:t>17.对响应文件的符合性检查</w:t>
      </w:r>
      <w:r>
        <w:tab/>
      </w:r>
      <w:r>
        <w:fldChar w:fldCharType="begin"/>
      </w:r>
      <w:r>
        <w:instrText xml:space="preserve"> PAGEREF _Toc146043884 \h </w:instrText>
      </w:r>
      <w:r>
        <w:fldChar w:fldCharType="separate"/>
      </w:r>
      <w:r>
        <w:t>17</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"_Toc146043885" </w:instrText>
      </w:r>
      <w:r>
        <w:fldChar w:fldCharType="separate"/>
      </w:r>
      <w:r>
        <w:rPr>
          <w:rStyle w:val="57"/>
          <w:rFonts w:ascii="宋体" w:hAnsi="宋体"/>
        </w:rPr>
        <w:t>18.磋商</w:t>
      </w:r>
      <w:r>
        <w:tab/>
      </w:r>
      <w:r>
        <w:fldChar w:fldCharType="begin"/>
      </w:r>
      <w:r>
        <w:instrText xml:space="preserve"> PAGEREF _Toc146043885 \h </w:instrText>
      </w:r>
      <w:r>
        <w:fldChar w:fldCharType="separate"/>
      </w:r>
      <w:r>
        <w:t>19</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"_Toc146043886" </w:instrText>
      </w:r>
      <w:r>
        <w:fldChar w:fldCharType="separate"/>
      </w:r>
      <w:r>
        <w:rPr>
          <w:rStyle w:val="57"/>
          <w:rFonts w:ascii="宋体" w:hAnsi="宋体"/>
        </w:rPr>
        <w:t>19.详细评审</w:t>
      </w:r>
      <w:r>
        <w:tab/>
      </w:r>
      <w:r>
        <w:fldChar w:fldCharType="begin"/>
      </w:r>
      <w:r>
        <w:instrText xml:space="preserve"> PAGEREF _Toc146043886 \h </w:instrText>
      </w:r>
      <w:r>
        <w:fldChar w:fldCharType="separate"/>
      </w:r>
      <w:r>
        <w:t>19</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"_Toc146043887" </w:instrText>
      </w:r>
      <w:r>
        <w:fldChar w:fldCharType="separate"/>
      </w:r>
      <w:r>
        <w:rPr>
          <w:rStyle w:val="57"/>
          <w:rFonts w:ascii="宋体" w:hAnsi="宋体"/>
        </w:rPr>
        <w:t>20.磋商过程要求</w:t>
      </w:r>
      <w:r>
        <w:tab/>
      </w:r>
      <w:r>
        <w:fldChar w:fldCharType="begin"/>
      </w:r>
      <w:r>
        <w:instrText xml:space="preserve"> PAGEREF _Toc146043887 \h </w:instrText>
      </w:r>
      <w:r>
        <w:fldChar w:fldCharType="separate"/>
      </w:r>
      <w:r>
        <w:t>20</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"_Toc146043888" </w:instrText>
      </w:r>
      <w:r>
        <w:fldChar w:fldCharType="separate"/>
      </w:r>
      <w:r>
        <w:rPr>
          <w:rStyle w:val="57"/>
          <w:rFonts w:ascii="宋体" w:hAnsi="宋体"/>
        </w:rPr>
        <w:t>21．评审过程及保密原则</w:t>
      </w:r>
      <w:r>
        <w:tab/>
      </w:r>
      <w:r>
        <w:fldChar w:fldCharType="begin"/>
      </w:r>
      <w:r>
        <w:instrText xml:space="preserve"> PAGEREF _Toc146043888 \h </w:instrText>
      </w:r>
      <w:r>
        <w:fldChar w:fldCharType="separate"/>
      </w:r>
      <w:r>
        <w:t>21</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"_Toc146043889" </w:instrText>
      </w:r>
      <w:r>
        <w:fldChar w:fldCharType="separate"/>
      </w:r>
      <w:r>
        <w:rPr>
          <w:rStyle w:val="57"/>
          <w:rFonts w:ascii="宋体" w:hAnsi="宋体"/>
        </w:rPr>
        <w:t>22.采购项目终止</w:t>
      </w:r>
      <w:r>
        <w:tab/>
      </w:r>
      <w:r>
        <w:fldChar w:fldCharType="begin"/>
      </w:r>
      <w:r>
        <w:instrText xml:space="preserve"> PAGEREF _Toc146043889 \h </w:instrText>
      </w:r>
      <w:r>
        <w:fldChar w:fldCharType="separate"/>
      </w:r>
      <w:r>
        <w:t>21</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"_Toc146043890" </w:instrText>
      </w:r>
      <w:r>
        <w:fldChar w:fldCharType="separate"/>
      </w:r>
      <w:r>
        <w:rPr>
          <w:rStyle w:val="57"/>
        </w:rPr>
        <w:t>六、成交</w:t>
      </w:r>
      <w:r>
        <w:tab/>
      </w:r>
      <w:r>
        <w:fldChar w:fldCharType="begin"/>
      </w:r>
      <w:r>
        <w:instrText xml:space="preserve"> PAGEREF _Toc146043890 \h </w:instrText>
      </w:r>
      <w:r>
        <w:fldChar w:fldCharType="separate"/>
      </w:r>
      <w:r>
        <w:t>21</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"_Toc146043891" </w:instrText>
      </w:r>
      <w:r>
        <w:fldChar w:fldCharType="separate"/>
      </w:r>
      <w:r>
        <w:rPr>
          <w:rStyle w:val="57"/>
          <w:rFonts w:ascii="宋体" w:hAnsi="宋体"/>
        </w:rPr>
        <w:t>22. 成交通知书</w:t>
      </w:r>
      <w:r>
        <w:tab/>
      </w:r>
      <w:r>
        <w:fldChar w:fldCharType="begin"/>
      </w:r>
      <w:r>
        <w:instrText xml:space="preserve"> PAGEREF _Toc146043891 \h </w:instrText>
      </w:r>
      <w:r>
        <w:fldChar w:fldCharType="separate"/>
      </w:r>
      <w:r>
        <w:t>21</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"_Toc146043892" </w:instrText>
      </w:r>
      <w:r>
        <w:fldChar w:fldCharType="separate"/>
      </w:r>
      <w:r>
        <w:rPr>
          <w:rStyle w:val="57"/>
          <w:rFonts w:ascii="宋体" w:hAnsi="宋体"/>
        </w:rPr>
        <w:t>23.成交服务费</w:t>
      </w:r>
      <w:r>
        <w:tab/>
      </w:r>
      <w:r>
        <w:fldChar w:fldCharType="begin"/>
      </w:r>
      <w:r>
        <w:instrText xml:space="preserve"> PAGEREF _Toc146043892 \h </w:instrText>
      </w:r>
      <w:r>
        <w:fldChar w:fldCharType="separate"/>
      </w:r>
      <w:r>
        <w:t>21</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"_Toc146043893" </w:instrText>
      </w:r>
      <w:r>
        <w:fldChar w:fldCharType="separate"/>
      </w:r>
      <w:r>
        <w:rPr>
          <w:rStyle w:val="57"/>
        </w:rPr>
        <w:t>七、签订合同</w:t>
      </w:r>
      <w:r>
        <w:tab/>
      </w:r>
      <w:r>
        <w:fldChar w:fldCharType="begin"/>
      </w:r>
      <w:r>
        <w:instrText xml:space="preserve"> PAGEREF _Toc146043893 \h </w:instrText>
      </w:r>
      <w:r>
        <w:fldChar w:fldCharType="separate"/>
      </w:r>
      <w:r>
        <w:t>22</w:t>
      </w:r>
      <w:r>
        <w:fldChar w:fldCharType="end"/>
      </w:r>
      <w:r>
        <w:fldChar w:fldCharType="end"/>
      </w:r>
    </w:p>
    <w:p>
      <w:pPr>
        <w:pStyle w:val="22"/>
        <w:tabs>
          <w:tab w:val="left" w:pos="840"/>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"_Toc146043894" </w:instrText>
      </w:r>
      <w:r>
        <w:fldChar w:fldCharType="separate"/>
      </w:r>
      <w:r>
        <w:rPr>
          <w:rStyle w:val="57"/>
          <w:rFonts w:ascii="宋体" w:hAnsi="宋体"/>
        </w:rPr>
        <w:t>24.</w:t>
      </w:r>
      <w:r>
        <w:rPr>
          <w:rFonts w:asciiTheme="minorHAnsi" w:hAnsiTheme="minorHAnsi" w:eastAsiaTheme="minorEastAsia" w:cstheme="minorBidi"/>
          <w:szCs w:val="22"/>
          <w14:ligatures w14:val="standardContextual"/>
        </w:rPr>
        <w:tab/>
      </w:r>
      <w:r>
        <w:rPr>
          <w:rStyle w:val="57"/>
          <w:rFonts w:ascii="宋体" w:hAnsi="宋体"/>
        </w:rPr>
        <w:t>签订合同</w:t>
      </w:r>
      <w:r>
        <w:tab/>
      </w:r>
      <w:r>
        <w:fldChar w:fldCharType="begin"/>
      </w:r>
      <w:r>
        <w:instrText xml:space="preserve"> PAGEREF _Toc146043894 \h </w:instrText>
      </w:r>
      <w:r>
        <w:fldChar w:fldCharType="separate"/>
      </w:r>
      <w:r>
        <w:t>22</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"_Toc146043895" </w:instrText>
      </w:r>
      <w:r>
        <w:fldChar w:fldCharType="separate"/>
      </w:r>
      <w:r>
        <w:rPr>
          <w:rStyle w:val="57"/>
        </w:rPr>
        <w:t>八、其它</w:t>
      </w:r>
      <w:r>
        <w:tab/>
      </w:r>
      <w:r>
        <w:fldChar w:fldCharType="begin"/>
      </w:r>
      <w:r>
        <w:instrText xml:space="preserve"> PAGEREF _Toc146043895 \h </w:instrText>
      </w:r>
      <w:r>
        <w:fldChar w:fldCharType="separate"/>
      </w:r>
      <w:r>
        <w:t>22</w:t>
      </w:r>
      <w:r>
        <w:fldChar w:fldCharType="end"/>
      </w:r>
      <w:r>
        <w:fldChar w:fldCharType="end"/>
      </w:r>
    </w:p>
    <w:p>
      <w:pPr>
        <w:pStyle w:val="31"/>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"_Toc146043896" </w:instrText>
      </w:r>
      <w:r>
        <w:fldChar w:fldCharType="separate"/>
      </w:r>
      <w:r>
        <w:rPr>
          <w:rStyle w:val="57"/>
          <w:rFonts w:ascii="宋体" w:hAnsi="宋体"/>
        </w:rPr>
        <w:t>第四章  项目需求</w:t>
      </w:r>
      <w:r>
        <w:tab/>
      </w:r>
      <w:r>
        <w:fldChar w:fldCharType="begin"/>
      </w:r>
      <w:r>
        <w:instrText xml:space="preserve"> PAGEREF _Toc146043896 \h </w:instrText>
      </w:r>
      <w:r>
        <w:fldChar w:fldCharType="separate"/>
      </w:r>
      <w:r>
        <w:t>23</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"_Toc146043897" </w:instrText>
      </w:r>
      <w:r>
        <w:fldChar w:fldCharType="separate"/>
      </w:r>
      <w:r>
        <w:rPr>
          <w:rStyle w:val="57"/>
          <w:rFonts w:ascii="宋体" w:hAnsi="宋体"/>
        </w:rPr>
        <w:t>1．用途</w:t>
      </w:r>
      <w:r>
        <w:tab/>
      </w:r>
      <w:r>
        <w:fldChar w:fldCharType="begin"/>
      </w:r>
      <w:r>
        <w:instrText xml:space="preserve"> PAGEREF _Toc146043897 \h </w:instrText>
      </w:r>
      <w:r>
        <w:fldChar w:fldCharType="separate"/>
      </w:r>
      <w:r>
        <w:t>23</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"_Toc146043898" </w:instrText>
      </w:r>
      <w:r>
        <w:fldChar w:fldCharType="separate"/>
      </w:r>
      <w:r>
        <w:rPr>
          <w:rStyle w:val="57"/>
          <w:rFonts w:ascii="宋体" w:hAnsi="宋体"/>
        </w:rPr>
        <w:t>2．配置要求</w:t>
      </w:r>
      <w:r>
        <w:tab/>
      </w:r>
      <w:r>
        <w:fldChar w:fldCharType="begin"/>
      </w:r>
      <w:r>
        <w:instrText xml:space="preserve"> PAGEREF _Toc146043898 \h </w:instrText>
      </w:r>
      <w:r>
        <w:fldChar w:fldCharType="separate"/>
      </w:r>
      <w:r>
        <w:t>23</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"_Toc146043899" </w:instrText>
      </w:r>
      <w:r>
        <w:fldChar w:fldCharType="separate"/>
      </w:r>
      <w:r>
        <w:rPr>
          <w:rStyle w:val="57"/>
          <w:rFonts w:ascii="宋体" w:hAnsi="宋体"/>
        </w:rPr>
        <w:t>3．技术要求</w:t>
      </w:r>
      <w:r>
        <w:tab/>
      </w:r>
      <w:r>
        <w:fldChar w:fldCharType="begin"/>
      </w:r>
      <w:r>
        <w:instrText xml:space="preserve"> PAGEREF _Toc146043899 \h </w:instrText>
      </w:r>
      <w:r>
        <w:fldChar w:fldCharType="separate"/>
      </w:r>
      <w:r>
        <w:t>23</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"_Toc146043900" </w:instrText>
      </w:r>
      <w:r>
        <w:fldChar w:fldCharType="separate"/>
      </w:r>
      <w:r>
        <w:rPr>
          <w:rStyle w:val="57"/>
          <w:rFonts w:ascii="宋体" w:hAnsi="宋体"/>
        </w:rPr>
        <w:t>4. 服务要求</w:t>
      </w:r>
      <w:r>
        <w:tab/>
      </w:r>
      <w:r>
        <w:fldChar w:fldCharType="begin"/>
      </w:r>
      <w:r>
        <w:instrText xml:space="preserve"> PAGEREF _Toc146043900 \h </w:instrText>
      </w:r>
      <w:r>
        <w:fldChar w:fldCharType="separate"/>
      </w:r>
      <w:r>
        <w:t>23</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"_Toc146043901" </w:instrText>
      </w:r>
      <w:r>
        <w:fldChar w:fldCharType="separate"/>
      </w:r>
      <w:r>
        <w:rPr>
          <w:rStyle w:val="57"/>
          <w:rFonts w:ascii="宋体" w:hAnsi="宋体"/>
        </w:rPr>
        <w:t>5．样品要求</w:t>
      </w:r>
      <w:r>
        <w:tab/>
      </w:r>
      <w:r>
        <w:fldChar w:fldCharType="begin"/>
      </w:r>
      <w:r>
        <w:instrText xml:space="preserve"> PAGEREF _Toc146043901 \h </w:instrText>
      </w:r>
      <w:r>
        <w:fldChar w:fldCharType="separate"/>
      </w:r>
      <w:r>
        <w:t>24</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"_Toc146043902" </w:instrText>
      </w:r>
      <w:r>
        <w:fldChar w:fldCharType="separate"/>
      </w:r>
      <w:r>
        <w:rPr>
          <w:rStyle w:val="57"/>
          <w:rFonts w:ascii="宋体" w:hAnsi="宋体"/>
        </w:rPr>
        <w:t>6. 其他说明</w:t>
      </w:r>
      <w:r>
        <w:tab/>
      </w:r>
      <w:r>
        <w:fldChar w:fldCharType="begin"/>
      </w:r>
      <w:r>
        <w:instrText xml:space="preserve"> PAGEREF _Toc146043902 \h </w:instrText>
      </w:r>
      <w:r>
        <w:fldChar w:fldCharType="separate"/>
      </w:r>
      <w:r>
        <w:t>24</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"_Toc146043903" </w:instrText>
      </w:r>
      <w:r>
        <w:fldChar w:fldCharType="separate"/>
      </w:r>
      <w:r>
        <w:rPr>
          <w:rStyle w:val="57"/>
          <w:rFonts w:ascii="宋体" w:hAnsi="宋体"/>
        </w:rPr>
        <w:t>7. 验收标准</w:t>
      </w:r>
      <w:r>
        <w:tab/>
      </w:r>
      <w:r>
        <w:fldChar w:fldCharType="begin"/>
      </w:r>
      <w:r>
        <w:instrText xml:space="preserve"> PAGEREF _Toc146043903 \h </w:instrText>
      </w:r>
      <w:r>
        <w:fldChar w:fldCharType="separate"/>
      </w:r>
      <w:r>
        <w:t>24</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"_Toc146043904" </w:instrText>
      </w:r>
      <w:r>
        <w:fldChar w:fldCharType="separate"/>
      </w:r>
      <w:r>
        <w:rPr>
          <w:rStyle w:val="57"/>
          <w:rFonts w:ascii="宋体" w:hAnsi="宋体"/>
        </w:rPr>
        <w:t>8. 交货地点</w:t>
      </w:r>
      <w:r>
        <w:tab/>
      </w:r>
      <w:r>
        <w:fldChar w:fldCharType="begin"/>
      </w:r>
      <w:r>
        <w:instrText xml:space="preserve"> PAGEREF _Toc146043904 \h </w:instrText>
      </w:r>
      <w:r>
        <w:fldChar w:fldCharType="separate"/>
      </w:r>
      <w:r>
        <w:t>25</w:t>
      </w:r>
      <w:r>
        <w:fldChar w:fldCharType="end"/>
      </w:r>
      <w:r>
        <w:fldChar w:fldCharType="end"/>
      </w:r>
    </w:p>
    <w:p>
      <w:pPr>
        <w:pStyle w:val="31"/>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"_Toc146043905" </w:instrText>
      </w:r>
      <w:r>
        <w:fldChar w:fldCharType="separate"/>
      </w:r>
      <w:r>
        <w:rPr>
          <w:rStyle w:val="57"/>
          <w:rFonts w:ascii="宋体" w:hAnsi="宋体"/>
        </w:rPr>
        <w:t>第五章  评审办法及评分标准</w:t>
      </w:r>
      <w:r>
        <w:tab/>
      </w:r>
      <w:r>
        <w:fldChar w:fldCharType="begin"/>
      </w:r>
      <w:r>
        <w:instrText xml:space="preserve"> PAGEREF _Toc146043905 \h </w:instrText>
      </w:r>
      <w:r>
        <w:fldChar w:fldCharType="separate"/>
      </w:r>
      <w:r>
        <w:t>26</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"_Toc146043906" </w:instrText>
      </w:r>
      <w:r>
        <w:fldChar w:fldCharType="separate"/>
      </w:r>
      <w:r>
        <w:rPr>
          <w:rStyle w:val="57"/>
        </w:rPr>
        <w:t>一、有关说明</w:t>
      </w:r>
      <w:r>
        <w:tab/>
      </w:r>
      <w:r>
        <w:fldChar w:fldCharType="begin"/>
      </w:r>
      <w:r>
        <w:instrText xml:space="preserve"> PAGEREF _Toc146043906 \h </w:instrText>
      </w:r>
      <w:r>
        <w:fldChar w:fldCharType="separate"/>
      </w:r>
      <w:r>
        <w:t>26</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"_Toc146043907" </w:instrText>
      </w:r>
      <w:r>
        <w:fldChar w:fldCharType="separate"/>
      </w:r>
      <w:r>
        <w:rPr>
          <w:rStyle w:val="57"/>
        </w:rPr>
        <w:t>二、评分办法</w:t>
      </w:r>
      <w:r>
        <w:tab/>
      </w:r>
      <w:r>
        <w:fldChar w:fldCharType="begin"/>
      </w:r>
      <w:r>
        <w:instrText xml:space="preserve"> PAGEREF _Toc146043907 \h </w:instrText>
      </w:r>
      <w:r>
        <w:fldChar w:fldCharType="separate"/>
      </w:r>
      <w:r>
        <w:t>27</w:t>
      </w:r>
      <w:r>
        <w:fldChar w:fldCharType="end"/>
      </w:r>
      <w:r>
        <w:fldChar w:fldCharType="end"/>
      </w:r>
    </w:p>
    <w:p>
      <w:pPr>
        <w:pStyle w:val="31"/>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"_Toc146043908" </w:instrText>
      </w:r>
      <w:r>
        <w:fldChar w:fldCharType="separate"/>
      </w:r>
      <w:r>
        <w:rPr>
          <w:rStyle w:val="57"/>
          <w:rFonts w:ascii="宋体" w:hAnsi="宋体"/>
        </w:rPr>
        <w:t>第六章  响应文件组成和格式</w:t>
      </w:r>
      <w:r>
        <w:tab/>
      </w:r>
      <w:r>
        <w:fldChar w:fldCharType="begin"/>
      </w:r>
      <w:r>
        <w:instrText xml:space="preserve"> PAGEREF _Toc146043908 \h </w:instrText>
      </w:r>
      <w:r>
        <w:fldChar w:fldCharType="separate"/>
      </w:r>
      <w:r>
        <w:t>31</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"_Toc146043909" </w:instrText>
      </w:r>
      <w:r>
        <w:fldChar w:fldCharType="separate"/>
      </w:r>
      <w:r>
        <w:rPr>
          <w:rStyle w:val="57"/>
        </w:rPr>
        <w:t>一、报价部分</w:t>
      </w:r>
      <w:r>
        <w:tab/>
      </w:r>
      <w:r>
        <w:fldChar w:fldCharType="begin"/>
      </w:r>
      <w:r>
        <w:instrText xml:space="preserve"> PAGEREF _Toc146043909 \h </w:instrText>
      </w:r>
      <w:r>
        <w:fldChar w:fldCharType="separate"/>
      </w:r>
      <w:r>
        <w:t>31</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"_Toc146043910" </w:instrText>
      </w:r>
      <w:r>
        <w:fldChar w:fldCharType="separate"/>
      </w:r>
      <w:r>
        <w:rPr>
          <w:rStyle w:val="57"/>
          <w:rFonts w:ascii="宋体" w:hAnsi="宋体"/>
        </w:rPr>
        <w:t>1.报价函</w:t>
      </w:r>
      <w:r>
        <w:tab/>
      </w:r>
      <w:r>
        <w:fldChar w:fldCharType="begin"/>
      </w:r>
      <w:r>
        <w:instrText xml:space="preserve"> PAGEREF _Toc146043910 \h </w:instrText>
      </w:r>
      <w:r>
        <w:fldChar w:fldCharType="separate"/>
      </w:r>
      <w:r>
        <w:t>31</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"_Toc146043911" </w:instrText>
      </w:r>
      <w:r>
        <w:fldChar w:fldCharType="separate"/>
      </w:r>
      <w:r>
        <w:rPr>
          <w:rStyle w:val="57"/>
          <w:rFonts w:ascii="宋体" w:hAnsi="宋体"/>
        </w:rPr>
        <w:t>2.报价表格式</w:t>
      </w:r>
      <w:r>
        <w:tab/>
      </w:r>
      <w:r>
        <w:fldChar w:fldCharType="begin"/>
      </w:r>
      <w:r>
        <w:instrText xml:space="preserve"> PAGEREF _Toc146043911 \h </w:instrText>
      </w:r>
      <w:r>
        <w:fldChar w:fldCharType="separate"/>
      </w:r>
      <w:r>
        <w:t>33</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"_Toc146043912" </w:instrText>
      </w:r>
      <w:r>
        <w:fldChar w:fldCharType="separate"/>
      </w:r>
      <w:r>
        <w:rPr>
          <w:rStyle w:val="57"/>
          <w:rFonts w:ascii="宋体" w:hAnsi="宋体"/>
        </w:rPr>
        <w:t>3.分项报价表格式</w:t>
      </w:r>
      <w:r>
        <w:tab/>
      </w:r>
      <w:r>
        <w:fldChar w:fldCharType="begin"/>
      </w:r>
      <w:r>
        <w:instrText xml:space="preserve"> PAGEREF _Toc146043912 \h </w:instrText>
      </w:r>
      <w:r>
        <w:fldChar w:fldCharType="separate"/>
      </w:r>
      <w:r>
        <w:t>34</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"_Toc146043913" </w:instrText>
      </w:r>
      <w:r>
        <w:fldChar w:fldCharType="separate"/>
      </w:r>
      <w:r>
        <w:rPr>
          <w:rStyle w:val="57"/>
        </w:rPr>
        <w:t>二、商务部分</w:t>
      </w:r>
      <w:r>
        <w:tab/>
      </w:r>
      <w:r>
        <w:fldChar w:fldCharType="begin"/>
      </w:r>
      <w:r>
        <w:instrText xml:space="preserve"> PAGEREF _Toc146043913 \h </w:instrText>
      </w:r>
      <w:r>
        <w:fldChar w:fldCharType="separate"/>
      </w:r>
      <w:r>
        <w:t>35</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"_Toc146043914" </w:instrText>
      </w:r>
      <w:r>
        <w:fldChar w:fldCharType="separate"/>
      </w:r>
      <w:r>
        <w:rPr>
          <w:rStyle w:val="57"/>
          <w:rFonts w:ascii="宋体" w:hAnsi="宋体"/>
        </w:rPr>
        <w:t>1.资格证明文件及格式</w:t>
      </w:r>
      <w:r>
        <w:tab/>
      </w:r>
      <w:r>
        <w:fldChar w:fldCharType="begin"/>
      </w:r>
      <w:r>
        <w:instrText xml:space="preserve"> PAGEREF _Toc146043914 \h </w:instrText>
      </w:r>
      <w:r>
        <w:fldChar w:fldCharType="separate"/>
      </w:r>
      <w:r>
        <w:t>35</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"_Toc146043915" </w:instrText>
      </w:r>
      <w:r>
        <w:fldChar w:fldCharType="separate"/>
      </w:r>
      <w:r>
        <w:rPr>
          <w:rStyle w:val="57"/>
          <w:rFonts w:ascii="宋体" w:hAnsi="宋体"/>
        </w:rPr>
        <w:t>2.业绩案例一览表</w:t>
      </w:r>
      <w:r>
        <w:tab/>
      </w:r>
      <w:r>
        <w:fldChar w:fldCharType="begin"/>
      </w:r>
      <w:r>
        <w:instrText xml:space="preserve"> PAGEREF _Toc146043915 \h </w:instrText>
      </w:r>
      <w:r>
        <w:fldChar w:fldCharType="separate"/>
      </w:r>
      <w:r>
        <w:t>40</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"_Toc146043916" </w:instrText>
      </w:r>
      <w:r>
        <w:fldChar w:fldCharType="separate"/>
      </w:r>
      <w:r>
        <w:rPr>
          <w:rStyle w:val="57"/>
          <w:rFonts w:ascii="宋体" w:hAnsi="宋体"/>
        </w:rPr>
        <w:t>3.商务条款偏离表</w:t>
      </w:r>
      <w:r>
        <w:tab/>
      </w:r>
      <w:r>
        <w:fldChar w:fldCharType="begin"/>
      </w:r>
      <w:r>
        <w:instrText xml:space="preserve"> PAGEREF _Toc146043916 \h </w:instrText>
      </w:r>
      <w:r>
        <w:fldChar w:fldCharType="separate"/>
      </w:r>
      <w:r>
        <w:t>41</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"_Toc146043917" </w:instrText>
      </w:r>
      <w:r>
        <w:fldChar w:fldCharType="separate"/>
      </w:r>
      <w:r>
        <w:rPr>
          <w:rStyle w:val="57"/>
          <w:rFonts w:ascii="宋体" w:hAnsi="宋体"/>
        </w:rPr>
        <w:t>4.成交服务费承诺书</w:t>
      </w:r>
      <w:r>
        <w:tab/>
      </w:r>
      <w:r>
        <w:fldChar w:fldCharType="begin"/>
      </w:r>
      <w:r>
        <w:instrText xml:space="preserve"> PAGEREF _Toc146043917 \h </w:instrText>
      </w:r>
      <w:r>
        <w:fldChar w:fldCharType="separate"/>
      </w:r>
      <w:r>
        <w:t>42</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"_Toc146043918" </w:instrText>
      </w:r>
      <w:r>
        <w:fldChar w:fldCharType="separate"/>
      </w:r>
      <w:r>
        <w:rPr>
          <w:rStyle w:val="57"/>
          <w:rFonts w:ascii="宋体" w:hAnsi="宋体"/>
        </w:rPr>
        <w:t>5.磋商保证金递交证明</w:t>
      </w:r>
      <w:r>
        <w:tab/>
      </w:r>
      <w:r>
        <w:fldChar w:fldCharType="begin"/>
      </w:r>
      <w:r>
        <w:instrText xml:space="preserve"> PAGEREF _Toc146043918 \h </w:instrText>
      </w:r>
      <w:r>
        <w:fldChar w:fldCharType="separate"/>
      </w:r>
      <w:r>
        <w:t>43</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"_Toc146043919" </w:instrText>
      </w:r>
      <w:r>
        <w:fldChar w:fldCharType="separate"/>
      </w:r>
      <w:r>
        <w:rPr>
          <w:rStyle w:val="57"/>
          <w:rFonts w:ascii="宋体" w:hAnsi="宋体"/>
        </w:rPr>
        <w:t>6.供应商情况表</w:t>
      </w:r>
      <w:r>
        <w:tab/>
      </w:r>
      <w:r>
        <w:fldChar w:fldCharType="begin"/>
      </w:r>
      <w:r>
        <w:instrText xml:space="preserve"> PAGEREF _Toc146043919 \h </w:instrText>
      </w:r>
      <w:r>
        <w:fldChar w:fldCharType="separate"/>
      </w:r>
      <w:r>
        <w:t>44</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"_Toc146043920" </w:instrText>
      </w:r>
      <w:r>
        <w:fldChar w:fldCharType="separate"/>
      </w:r>
      <w:r>
        <w:rPr>
          <w:rStyle w:val="57"/>
          <w:rFonts w:ascii="宋体" w:hAnsi="宋体"/>
        </w:rPr>
        <w:t>7.供应商企业类型声明函</w:t>
      </w:r>
      <w:r>
        <w:tab/>
      </w:r>
      <w:r>
        <w:fldChar w:fldCharType="begin"/>
      </w:r>
      <w:r>
        <w:instrText xml:space="preserve"> PAGEREF _Toc146043920 \h </w:instrText>
      </w:r>
      <w:r>
        <w:fldChar w:fldCharType="separate"/>
      </w:r>
      <w:r>
        <w:t>45</w:t>
      </w:r>
      <w:r>
        <w:fldChar w:fldCharType="end"/>
      </w:r>
      <w:r>
        <w:fldChar w:fldCharType="end"/>
      </w:r>
    </w:p>
    <w:p>
      <w:pPr>
        <w:pStyle w:val="37"/>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"_Toc146043921" </w:instrText>
      </w:r>
      <w:r>
        <w:fldChar w:fldCharType="separate"/>
      </w:r>
      <w:r>
        <w:rPr>
          <w:rStyle w:val="57"/>
        </w:rPr>
        <w:t>三、技术部分</w:t>
      </w:r>
      <w:r>
        <w:tab/>
      </w:r>
      <w:r>
        <w:fldChar w:fldCharType="begin"/>
      </w:r>
      <w:r>
        <w:instrText xml:space="preserve"> PAGEREF _Toc146043921 \h </w:instrText>
      </w:r>
      <w:r>
        <w:fldChar w:fldCharType="separate"/>
      </w:r>
      <w:r>
        <w:t>49</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"_Toc146043922" </w:instrText>
      </w:r>
      <w:r>
        <w:fldChar w:fldCharType="separate"/>
      </w:r>
      <w:r>
        <w:rPr>
          <w:rStyle w:val="57"/>
          <w:rFonts w:ascii="宋体" w:hAnsi="宋体"/>
        </w:rPr>
        <w:t>1.技术偏离表</w:t>
      </w:r>
      <w:r>
        <w:tab/>
      </w:r>
      <w:r>
        <w:fldChar w:fldCharType="begin"/>
      </w:r>
      <w:r>
        <w:instrText xml:space="preserve"> PAGEREF _Toc146043922 \h </w:instrText>
      </w:r>
      <w:r>
        <w:fldChar w:fldCharType="separate"/>
      </w:r>
      <w:r>
        <w:t>49</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"_Toc146043923" </w:instrText>
      </w:r>
      <w:r>
        <w:fldChar w:fldCharType="separate"/>
      </w:r>
      <w:r>
        <w:rPr>
          <w:rStyle w:val="57"/>
          <w:rFonts w:ascii="宋体" w:hAnsi="宋体"/>
        </w:rPr>
        <w:t>2.详细的方案和说明（格式自定）</w:t>
      </w:r>
      <w:r>
        <w:tab/>
      </w:r>
      <w:r>
        <w:fldChar w:fldCharType="begin"/>
      </w:r>
      <w:r>
        <w:instrText xml:space="preserve"> PAGEREF _Toc146043923 \h </w:instrText>
      </w:r>
      <w:r>
        <w:fldChar w:fldCharType="separate"/>
      </w:r>
      <w:r>
        <w:t>50</w:t>
      </w:r>
      <w:r>
        <w:fldChar w:fldCharType="end"/>
      </w:r>
      <w:r>
        <w:fldChar w:fldCharType="end"/>
      </w:r>
    </w:p>
    <w:p>
      <w:pPr>
        <w:pStyle w:val="22"/>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"_Toc146043924" </w:instrText>
      </w:r>
      <w:r>
        <w:fldChar w:fldCharType="separate"/>
      </w:r>
      <w:r>
        <w:rPr>
          <w:rStyle w:val="57"/>
          <w:rFonts w:ascii="宋体" w:hAnsi="宋体"/>
        </w:rPr>
        <w:t>3.供应商认为应该提供或磋商文件要求提供的其他材料</w:t>
      </w:r>
      <w:r>
        <w:tab/>
      </w:r>
      <w:r>
        <w:fldChar w:fldCharType="begin"/>
      </w:r>
      <w:r>
        <w:instrText xml:space="preserve"> PAGEREF _Toc146043924 \h </w:instrText>
      </w:r>
      <w:r>
        <w:fldChar w:fldCharType="separate"/>
      </w:r>
      <w:r>
        <w:t>50</w:t>
      </w:r>
      <w:r>
        <w:fldChar w:fldCharType="end"/>
      </w:r>
      <w:r>
        <w:fldChar w:fldCharType="end"/>
      </w:r>
    </w:p>
    <w:p>
      <w:pPr>
        <w:pStyle w:val="31"/>
        <w:tabs>
          <w:tab w:val="right" w:leader="dot" w:pos="8297"/>
        </w:tabs>
        <w:rPr>
          <w:rFonts w:asciiTheme="minorHAnsi" w:hAnsiTheme="minorHAnsi" w:eastAsiaTheme="minorEastAsia" w:cstheme="minorBidi"/>
          <w:szCs w:val="22"/>
          <w14:ligatures w14:val="standardContextual"/>
        </w:rPr>
      </w:pPr>
      <w:r>
        <w:fldChar w:fldCharType="begin"/>
      </w:r>
      <w:r>
        <w:instrText xml:space="preserve"> HYPERLINK \l "_Toc146043925" </w:instrText>
      </w:r>
      <w:r>
        <w:fldChar w:fldCharType="separate"/>
      </w:r>
      <w:r>
        <w:rPr>
          <w:rStyle w:val="57"/>
          <w:rFonts w:ascii="宋体" w:hAnsi="宋体"/>
        </w:rPr>
        <w:t>第七章  合同条款</w:t>
      </w:r>
      <w:r>
        <w:tab/>
      </w:r>
      <w:r>
        <w:fldChar w:fldCharType="begin"/>
      </w:r>
      <w:r>
        <w:instrText xml:space="preserve"> PAGEREF _Toc146043925 \h </w:instrText>
      </w:r>
      <w:r>
        <w:fldChar w:fldCharType="separate"/>
      </w:r>
      <w:r>
        <w:t>51</w:t>
      </w:r>
      <w:r>
        <w:fldChar w:fldCharType="end"/>
      </w:r>
      <w:r>
        <w:fldChar w:fldCharType="end"/>
      </w:r>
    </w:p>
    <w:p>
      <w:pPr>
        <w:pStyle w:val="23"/>
        <w:rPr>
          <w:rStyle w:val="306"/>
          <w:rFonts w:ascii="宋体" w:hAnsi="宋体"/>
        </w:rPr>
      </w:pPr>
      <w:r>
        <w:rPr>
          <w:rFonts w:hAnsi="宋体"/>
        </w:rPr>
        <w:fldChar w:fldCharType="end"/>
      </w:r>
      <w:r>
        <w:rPr>
          <w:rStyle w:val="306"/>
          <w:rFonts w:ascii="宋体" w:hAnsi="宋体"/>
        </w:rPr>
        <w:br w:type="page"/>
      </w:r>
    </w:p>
    <w:p>
      <w:pPr>
        <w:pStyle w:val="2"/>
        <w:numPr>
          <w:ilvl w:val="0"/>
          <w:numId w:val="0"/>
        </w:numPr>
        <w:spacing w:line="360" w:lineRule="auto"/>
        <w:rPr>
          <w:rFonts w:ascii="宋体" w:hAnsi="宋体"/>
          <w:b w:val="0"/>
          <w:sz w:val="28"/>
          <w:szCs w:val="28"/>
        </w:rPr>
      </w:pPr>
      <w:bookmarkStart w:id="0" w:name="_Toc146043852"/>
      <w:r>
        <w:rPr>
          <w:rFonts w:hint="eastAsia" w:ascii="宋体" w:hAnsi="宋体"/>
          <w:sz w:val="28"/>
          <w:szCs w:val="28"/>
        </w:rPr>
        <w:t>第一章  竞争性磋商邀请</w:t>
      </w:r>
      <w:bookmarkEnd w:id="0"/>
    </w:p>
    <w:p>
      <w:pPr>
        <w:spacing w:line="360" w:lineRule="auto"/>
        <w:ind w:left="1" w:firstLine="480" w:firstLineChars="200"/>
        <w:rPr>
          <w:rFonts w:ascii="宋体" w:hAnsi="宋体"/>
          <w:sz w:val="24"/>
          <w:szCs w:val="24"/>
        </w:rPr>
      </w:pPr>
      <w:r>
        <w:rPr>
          <w:rFonts w:hint="eastAsia" w:ascii="宋体" w:hAnsi="宋体"/>
          <w:sz w:val="24"/>
          <w:szCs w:val="24"/>
        </w:rPr>
        <w:t>北京国际工程咨询有限公司受</w:t>
      </w:r>
      <w:r>
        <w:rPr>
          <w:rFonts w:hint="eastAsia" w:ascii="宋体" w:hAnsi="宋体"/>
          <w:sz w:val="24"/>
        </w:rPr>
        <w:t>清华大学</w:t>
      </w:r>
      <w:r>
        <w:rPr>
          <w:rFonts w:hint="eastAsia" w:ascii="宋体" w:hAnsi="宋体"/>
          <w:sz w:val="24"/>
          <w:szCs w:val="24"/>
        </w:rPr>
        <w:t>的委托，对</w:t>
      </w:r>
      <w:r>
        <w:rPr>
          <w:rFonts w:hint="eastAsia" w:ascii="宋体" w:hAnsi="宋体"/>
          <w:sz w:val="24"/>
        </w:rPr>
        <w:t>清华大学继续教育学院黑色手提包购置项目</w:t>
      </w:r>
      <w:r>
        <w:rPr>
          <w:rFonts w:hint="eastAsia" w:ascii="宋体" w:hAnsi="宋体"/>
          <w:sz w:val="24"/>
          <w:szCs w:val="24"/>
        </w:rPr>
        <w:t>进行竞争性磋商采购，现欢迎合格的供应商报名。</w:t>
      </w:r>
    </w:p>
    <w:p>
      <w:pPr>
        <w:pStyle w:val="3"/>
        <w:spacing w:line="360" w:lineRule="auto"/>
        <w:rPr>
          <w:rFonts w:cs="宋体"/>
          <w:b w:val="0"/>
          <w:szCs w:val="24"/>
        </w:rPr>
      </w:pPr>
      <w:bookmarkStart w:id="1" w:name="_Toc28359089"/>
      <w:bookmarkStart w:id="2" w:name="_Toc35393798"/>
      <w:bookmarkStart w:id="3" w:name="_Toc35393629"/>
      <w:bookmarkStart w:id="4" w:name="_Toc146043853"/>
      <w:bookmarkStart w:id="5" w:name="_Toc28359012"/>
      <w:r>
        <w:rPr>
          <w:rFonts w:hint="eastAsia" w:cs="宋体"/>
          <w:b w:val="0"/>
          <w:szCs w:val="24"/>
        </w:rPr>
        <w:t>一、项目基本情况</w:t>
      </w:r>
      <w:bookmarkEnd w:id="1"/>
      <w:bookmarkEnd w:id="2"/>
      <w:bookmarkEnd w:id="3"/>
      <w:bookmarkEnd w:id="4"/>
      <w:bookmarkEnd w:id="5"/>
    </w:p>
    <w:p>
      <w:pPr>
        <w:spacing w:line="360" w:lineRule="auto"/>
        <w:ind w:firstLine="480" w:firstLineChars="200"/>
        <w:rPr>
          <w:rFonts w:ascii="宋体" w:hAnsi="宋体"/>
          <w:sz w:val="24"/>
          <w:szCs w:val="24"/>
        </w:rPr>
      </w:pPr>
      <w:r>
        <w:rPr>
          <w:rFonts w:hint="eastAsia" w:ascii="宋体" w:hAnsi="宋体"/>
          <w:sz w:val="24"/>
          <w:szCs w:val="24"/>
        </w:rPr>
        <w:t>项目编号：BIECC-23ZB0409</w:t>
      </w:r>
      <w:r>
        <w:rPr>
          <w:rFonts w:ascii="宋体" w:hAnsi="宋体"/>
          <w:sz w:val="24"/>
          <w:szCs w:val="24"/>
        </w:rPr>
        <w:t xml:space="preserve"> </w:t>
      </w:r>
    </w:p>
    <w:p>
      <w:pPr>
        <w:spacing w:line="360" w:lineRule="auto"/>
        <w:ind w:left="424" w:leftChars="202"/>
        <w:rPr>
          <w:rFonts w:ascii="宋体" w:hAnsi="宋体"/>
          <w:b/>
          <w:sz w:val="24"/>
          <w:szCs w:val="24"/>
        </w:rPr>
      </w:pPr>
      <w:r>
        <w:rPr>
          <w:rFonts w:hint="eastAsia" w:ascii="宋体" w:hAnsi="宋体"/>
          <w:sz w:val="24"/>
          <w:szCs w:val="24"/>
        </w:rPr>
        <w:t>项目名称：</w:t>
      </w:r>
      <w:r>
        <w:rPr>
          <w:rFonts w:hint="eastAsia" w:ascii="宋体" w:hAnsi="宋体"/>
          <w:sz w:val="24"/>
        </w:rPr>
        <w:t>清华大学继续教育学院黑色手提包购置项目</w:t>
      </w:r>
    </w:p>
    <w:p>
      <w:pPr>
        <w:spacing w:line="360" w:lineRule="auto"/>
        <w:ind w:firstLine="480" w:firstLineChars="200"/>
        <w:rPr>
          <w:rFonts w:ascii="宋体" w:hAnsi="宋体"/>
          <w:sz w:val="24"/>
          <w:szCs w:val="24"/>
        </w:rPr>
      </w:pPr>
      <w:r>
        <w:rPr>
          <w:rFonts w:hint="eastAsia" w:ascii="宋体" w:hAnsi="宋体"/>
          <w:sz w:val="24"/>
          <w:szCs w:val="24"/>
        </w:rPr>
        <w:t>采购方式：竞争性磋商</w:t>
      </w:r>
    </w:p>
    <w:p>
      <w:pPr>
        <w:spacing w:line="360" w:lineRule="auto"/>
        <w:ind w:firstLine="480" w:firstLineChars="200"/>
        <w:rPr>
          <w:rFonts w:ascii="宋体" w:hAnsi="宋体"/>
          <w:sz w:val="24"/>
          <w:szCs w:val="24"/>
        </w:rPr>
      </w:pPr>
      <w:r>
        <w:rPr>
          <w:rFonts w:hint="eastAsia" w:ascii="宋体" w:hAnsi="宋体"/>
          <w:sz w:val="24"/>
          <w:szCs w:val="24"/>
        </w:rPr>
        <w:t>预算金额：人民币</w:t>
      </w:r>
      <w:r>
        <w:rPr>
          <w:rFonts w:ascii="宋体" w:hAnsi="宋体" w:cs="宋体"/>
          <w:bCs/>
          <w:sz w:val="24"/>
          <w:szCs w:val="24"/>
        </w:rPr>
        <w:t>39万元</w:t>
      </w:r>
    </w:p>
    <w:p>
      <w:pPr>
        <w:spacing w:line="360" w:lineRule="auto"/>
        <w:ind w:firstLine="480" w:firstLineChars="200"/>
        <w:rPr>
          <w:rFonts w:ascii="宋体" w:hAnsi="宋体"/>
          <w:sz w:val="24"/>
          <w:szCs w:val="24"/>
        </w:rPr>
      </w:pPr>
      <w:r>
        <w:rPr>
          <w:rFonts w:hint="eastAsia" w:ascii="宋体" w:hAnsi="宋体"/>
          <w:sz w:val="24"/>
          <w:szCs w:val="24"/>
        </w:rPr>
        <w:t>最高限价：人民币</w:t>
      </w:r>
      <w:r>
        <w:rPr>
          <w:rFonts w:ascii="宋体" w:hAnsi="宋体" w:cs="宋体"/>
          <w:bCs/>
          <w:sz w:val="24"/>
          <w:szCs w:val="24"/>
        </w:rPr>
        <w:t>39万元</w:t>
      </w:r>
    </w:p>
    <w:p>
      <w:pPr>
        <w:spacing w:line="360" w:lineRule="auto"/>
        <w:ind w:firstLine="480" w:firstLineChars="200"/>
        <w:rPr>
          <w:rFonts w:ascii="宋体" w:hAnsi="宋体"/>
          <w:sz w:val="24"/>
          <w:szCs w:val="24"/>
        </w:rPr>
      </w:pPr>
      <w:r>
        <w:rPr>
          <w:rFonts w:hint="eastAsia" w:ascii="宋体" w:hAnsi="宋体"/>
          <w:sz w:val="24"/>
          <w:szCs w:val="24"/>
        </w:rPr>
        <w:t>采购需求：</w:t>
      </w:r>
      <w:r>
        <w:rPr>
          <w:rFonts w:ascii="宋体" w:hAnsi="宋体"/>
          <w:sz w:val="24"/>
          <w:szCs w:val="24"/>
        </w:rPr>
        <w:t xml:space="preserve"> </w:t>
      </w:r>
      <w:r>
        <w:rPr>
          <w:rFonts w:hint="eastAsia" w:ascii="宋体" w:hAnsi="宋体"/>
          <w:sz w:val="24"/>
          <w:szCs w:val="24"/>
        </w:rPr>
        <w:t>继续教育学院举办成人继续教育学习项目，为学员提供黑色手提包，供学员放置学习期间的资料等物品。</w:t>
      </w:r>
      <w:r>
        <w:rPr>
          <w:rFonts w:hint="eastAsia" w:ascii="宋体" w:hAnsi="宋体"/>
          <w:sz w:val="24"/>
        </w:rPr>
        <w:t>中标人根据采购人提交的《生产订单》（单次订单数量不低于5000个）的产品类别及数量进行生产。</w:t>
      </w:r>
      <w:r>
        <w:rPr>
          <w:rFonts w:hint="eastAsia" w:ascii="宋体" w:hAnsi="宋体"/>
          <w:sz w:val="24"/>
          <w:szCs w:val="24"/>
        </w:rPr>
        <w:t>具体要求详见第四章。</w:t>
      </w:r>
    </w:p>
    <w:p>
      <w:pPr>
        <w:spacing w:line="360" w:lineRule="auto"/>
        <w:ind w:firstLine="480" w:firstLineChars="200"/>
        <w:rPr>
          <w:rFonts w:ascii="宋体" w:hAnsi="宋体"/>
          <w:sz w:val="24"/>
          <w:szCs w:val="24"/>
        </w:rPr>
      </w:pPr>
      <w:r>
        <w:rPr>
          <w:rFonts w:hint="eastAsia" w:ascii="宋体" w:hAnsi="宋体"/>
          <w:sz w:val="24"/>
          <w:szCs w:val="24"/>
        </w:rPr>
        <w:t>合同履行期限：合同签订后，在提交《生产订单》后 45天内交货</w:t>
      </w:r>
      <w:r>
        <w:rPr>
          <w:rFonts w:hint="eastAsia" w:ascii="宋体" w:hAnsi="宋体"/>
          <w:sz w:val="24"/>
        </w:rPr>
        <w:t>。</w:t>
      </w:r>
    </w:p>
    <w:p>
      <w:pPr>
        <w:spacing w:line="360" w:lineRule="auto"/>
        <w:ind w:firstLine="480" w:firstLineChars="200"/>
        <w:rPr>
          <w:rFonts w:ascii="宋体" w:hAnsi="宋体"/>
          <w:sz w:val="24"/>
          <w:szCs w:val="24"/>
        </w:rPr>
      </w:pPr>
      <w:r>
        <w:rPr>
          <w:rFonts w:hint="eastAsia" w:ascii="宋体" w:hAnsi="宋体"/>
          <w:sz w:val="24"/>
          <w:szCs w:val="24"/>
        </w:rPr>
        <w:t>本项目不接受联合体。</w:t>
      </w:r>
    </w:p>
    <w:p>
      <w:pPr>
        <w:pStyle w:val="3"/>
        <w:spacing w:line="360" w:lineRule="auto"/>
        <w:rPr>
          <w:rFonts w:cs="宋体"/>
          <w:b w:val="0"/>
          <w:szCs w:val="24"/>
        </w:rPr>
      </w:pPr>
      <w:bookmarkStart w:id="6" w:name="_Toc28359090"/>
      <w:bookmarkStart w:id="7" w:name="_Toc35393799"/>
      <w:bookmarkStart w:id="8" w:name="_Toc146043854"/>
      <w:bookmarkStart w:id="9" w:name="_Toc28359013"/>
      <w:bookmarkStart w:id="10" w:name="_Toc35393630"/>
      <w:r>
        <w:rPr>
          <w:rFonts w:hint="eastAsia" w:cs="宋体"/>
          <w:b w:val="0"/>
          <w:szCs w:val="24"/>
        </w:rPr>
        <w:t>二、申请人的资格要求</w:t>
      </w:r>
      <w:bookmarkEnd w:id="6"/>
      <w:bookmarkEnd w:id="7"/>
      <w:bookmarkEnd w:id="8"/>
      <w:bookmarkEnd w:id="9"/>
      <w:bookmarkEnd w:id="10"/>
    </w:p>
    <w:p>
      <w:pPr>
        <w:spacing w:line="360" w:lineRule="auto"/>
        <w:ind w:firstLine="480" w:firstLineChars="200"/>
        <w:rPr>
          <w:rFonts w:ascii="宋体" w:hAnsi="宋体"/>
          <w:sz w:val="24"/>
          <w:szCs w:val="24"/>
        </w:rPr>
      </w:pPr>
      <w:r>
        <w:rPr>
          <w:rFonts w:hint="eastAsia" w:ascii="宋体" w:hAnsi="宋体"/>
          <w:sz w:val="24"/>
          <w:szCs w:val="24"/>
        </w:rPr>
        <w:t>1.满足《中华人民共和国政府采购法》第二十二条规定；</w:t>
      </w:r>
    </w:p>
    <w:p>
      <w:pPr>
        <w:spacing w:line="360" w:lineRule="auto"/>
        <w:ind w:firstLine="480" w:firstLineChars="200"/>
        <w:rPr>
          <w:rFonts w:ascii="宋体" w:hAnsi="宋体"/>
          <w:sz w:val="24"/>
          <w:szCs w:val="24"/>
        </w:rPr>
      </w:pPr>
      <w:bookmarkStart w:id="11" w:name="_Toc28359091"/>
      <w:bookmarkStart w:id="12" w:name="_Toc28359014"/>
      <w:r>
        <w:rPr>
          <w:rFonts w:ascii="宋体" w:hAnsi="宋体"/>
          <w:sz w:val="24"/>
          <w:szCs w:val="24"/>
        </w:rPr>
        <w:t>2</w:t>
      </w:r>
      <w:r>
        <w:rPr>
          <w:rFonts w:hint="eastAsia" w:ascii="宋体" w:hAnsi="宋体"/>
          <w:sz w:val="24"/>
          <w:szCs w:val="24"/>
        </w:rPr>
        <w:t>.落实政府采购政策需满足的资格要求：供应商必须为未被列入信用中国网站(www.creditchina.gov.cn)、中国政府采购网 (www.ccgp.gov.cn)渠道信用记录失信被执行人、重大税收违法案件当事人名单、政府采购严重违法失信行为记录名单的响应人；</w:t>
      </w:r>
    </w:p>
    <w:p>
      <w:pPr>
        <w:spacing w:line="360" w:lineRule="auto"/>
        <w:ind w:firstLine="480" w:firstLineChars="200"/>
        <w:rPr>
          <w:rFonts w:ascii="宋体" w:hAnsi="宋体"/>
          <w:sz w:val="24"/>
          <w:szCs w:val="24"/>
        </w:rPr>
      </w:pPr>
      <w:r>
        <w:rPr>
          <w:rFonts w:hint="eastAsia" w:ascii="宋体" w:hAnsi="宋体"/>
          <w:sz w:val="24"/>
          <w:szCs w:val="24"/>
        </w:rPr>
        <w:t>3.本项目的特定资格要求：</w:t>
      </w:r>
      <w:r>
        <w:rPr>
          <w:rFonts w:hint="eastAsia" w:ascii="宋体" w:hAnsi="宋体"/>
          <w:sz w:val="24"/>
          <w:szCs w:val="24"/>
          <w:u w:val="single"/>
        </w:rPr>
        <w:t>无</w:t>
      </w:r>
      <w:bookmarkStart w:id="13" w:name="_Toc35393800"/>
      <w:bookmarkStart w:id="14" w:name="_Toc35393631"/>
    </w:p>
    <w:p>
      <w:pPr>
        <w:pStyle w:val="3"/>
        <w:spacing w:line="360" w:lineRule="auto"/>
        <w:rPr>
          <w:rFonts w:cs="宋体"/>
          <w:b w:val="0"/>
          <w:szCs w:val="24"/>
        </w:rPr>
      </w:pPr>
      <w:bookmarkStart w:id="15" w:name="_Toc146043855"/>
      <w:r>
        <w:rPr>
          <w:rFonts w:hint="eastAsia" w:cs="宋体"/>
          <w:b w:val="0"/>
          <w:szCs w:val="24"/>
        </w:rPr>
        <w:t>三、获取采购文件</w:t>
      </w:r>
      <w:bookmarkEnd w:id="11"/>
      <w:bookmarkEnd w:id="12"/>
      <w:bookmarkEnd w:id="13"/>
      <w:bookmarkEnd w:id="14"/>
      <w:bookmarkEnd w:id="15"/>
    </w:p>
    <w:p>
      <w:pPr>
        <w:spacing w:line="360" w:lineRule="auto"/>
        <w:ind w:firstLine="540"/>
        <w:rPr>
          <w:rFonts w:ascii="宋体" w:hAnsi="宋体" w:cs="宋体"/>
          <w:sz w:val="24"/>
          <w:szCs w:val="24"/>
        </w:rPr>
      </w:pPr>
      <w:r>
        <w:rPr>
          <w:rFonts w:hint="eastAsia" w:ascii="宋体" w:hAnsi="宋体" w:cs="宋体"/>
          <w:sz w:val="24"/>
          <w:szCs w:val="24"/>
        </w:rPr>
        <w:t>时间：自202</w:t>
      </w:r>
      <w:r>
        <w:rPr>
          <w:rFonts w:ascii="宋体" w:hAnsi="宋体" w:cs="宋体"/>
          <w:sz w:val="24"/>
          <w:szCs w:val="24"/>
        </w:rPr>
        <w:t>3</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21</w:t>
      </w:r>
      <w:r>
        <w:rPr>
          <w:rFonts w:hint="eastAsia" w:ascii="宋体" w:hAnsi="宋体" w:cs="宋体"/>
          <w:sz w:val="24"/>
          <w:szCs w:val="24"/>
        </w:rPr>
        <w:t>日起至202</w:t>
      </w:r>
      <w:r>
        <w:rPr>
          <w:rFonts w:ascii="宋体" w:hAnsi="宋体" w:cs="宋体"/>
          <w:sz w:val="24"/>
          <w:szCs w:val="24"/>
        </w:rPr>
        <w:t>3</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28</w:t>
      </w:r>
      <w:r>
        <w:rPr>
          <w:rFonts w:hint="eastAsia" w:ascii="宋体" w:hAnsi="宋体" w:cs="宋体"/>
          <w:sz w:val="24"/>
          <w:szCs w:val="24"/>
        </w:rPr>
        <w:t>日止，每天上午9:00-11:30；下午13:</w:t>
      </w:r>
      <w:r>
        <w:rPr>
          <w:rFonts w:hint="eastAsia" w:ascii="宋体" w:hAnsi="宋体" w:cs="宋体"/>
          <w:sz w:val="24"/>
          <w:szCs w:val="24"/>
          <w:lang w:val="en-US" w:eastAsia="zh-CN"/>
        </w:rPr>
        <w:t>0</w:t>
      </w:r>
      <w:r>
        <w:rPr>
          <w:rFonts w:hint="eastAsia" w:ascii="宋体" w:hAnsi="宋体" w:cs="宋体"/>
          <w:sz w:val="24"/>
          <w:szCs w:val="24"/>
        </w:rPr>
        <w:t>0-1</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0（北京时间，节假日除外）</w:t>
      </w:r>
    </w:p>
    <w:p>
      <w:pPr>
        <w:spacing w:line="360" w:lineRule="auto"/>
        <w:ind w:firstLine="540"/>
        <w:rPr>
          <w:rFonts w:ascii="宋体" w:hAnsi="宋体" w:cs="宋体"/>
          <w:sz w:val="24"/>
          <w:szCs w:val="24"/>
        </w:rPr>
      </w:pPr>
      <w:r>
        <w:rPr>
          <w:rFonts w:hint="eastAsia" w:ascii="宋体" w:hAnsi="宋体" w:cs="宋体"/>
          <w:sz w:val="24"/>
          <w:szCs w:val="24"/>
        </w:rPr>
        <w:t>地点：北京市海淀区</w:t>
      </w:r>
      <w:bookmarkStart w:id="137" w:name="_GoBack"/>
      <w:bookmarkEnd w:id="137"/>
      <w:r>
        <w:rPr>
          <w:rFonts w:hint="eastAsia" w:ascii="宋体" w:hAnsi="宋体" w:cs="宋体"/>
          <w:sz w:val="24"/>
          <w:szCs w:val="24"/>
        </w:rPr>
        <w:t>学院路30号科大天工大厦</w:t>
      </w:r>
      <w:r>
        <w:rPr>
          <w:rFonts w:ascii="宋体" w:hAnsi="宋体" w:cs="宋体"/>
          <w:sz w:val="24"/>
          <w:szCs w:val="24"/>
        </w:rPr>
        <w:t>B</w:t>
      </w:r>
      <w:r>
        <w:rPr>
          <w:rFonts w:hint="eastAsia" w:ascii="宋体" w:hAnsi="宋体" w:cs="宋体"/>
          <w:sz w:val="24"/>
          <w:szCs w:val="24"/>
        </w:rPr>
        <w:t>座</w:t>
      </w:r>
      <w:r>
        <w:rPr>
          <w:rFonts w:ascii="宋体" w:hAnsi="宋体" w:cs="宋体"/>
          <w:sz w:val="24"/>
          <w:szCs w:val="24"/>
        </w:rPr>
        <w:t>1703</w:t>
      </w:r>
      <w:r>
        <w:rPr>
          <w:rFonts w:hint="eastAsia" w:ascii="宋体" w:hAnsi="宋体" w:cs="宋体"/>
          <w:sz w:val="24"/>
          <w:szCs w:val="24"/>
        </w:rPr>
        <w:t>室（北四环学院桥东北角）</w:t>
      </w:r>
    </w:p>
    <w:p>
      <w:pPr>
        <w:spacing w:line="360" w:lineRule="auto"/>
        <w:ind w:firstLine="540"/>
        <w:rPr>
          <w:rFonts w:ascii="宋体" w:hAnsi="宋体" w:cs="宋体"/>
          <w:sz w:val="24"/>
          <w:szCs w:val="24"/>
        </w:rPr>
      </w:pPr>
      <w:r>
        <w:rPr>
          <w:rFonts w:hint="eastAsia" w:ascii="宋体" w:hAnsi="宋体" w:cs="宋体"/>
          <w:sz w:val="24"/>
          <w:szCs w:val="24"/>
        </w:rPr>
        <w:t>方式：网银/电汇购买或现场购买（仅接受现金）</w:t>
      </w:r>
    </w:p>
    <w:p>
      <w:pPr>
        <w:spacing w:line="360" w:lineRule="auto"/>
        <w:ind w:firstLine="540"/>
        <w:rPr>
          <w:rFonts w:ascii="宋体" w:hAnsi="宋体" w:cs="宋体"/>
          <w:sz w:val="24"/>
          <w:szCs w:val="24"/>
        </w:rPr>
      </w:pPr>
      <w:r>
        <w:rPr>
          <w:rFonts w:hint="eastAsia" w:ascii="宋体" w:hAnsi="宋体" w:cs="宋体"/>
          <w:sz w:val="24"/>
          <w:szCs w:val="24"/>
        </w:rPr>
        <w:t>售价：人民币5</w:t>
      </w:r>
      <w:r>
        <w:rPr>
          <w:rFonts w:ascii="宋体" w:hAnsi="宋体" w:cs="宋体"/>
          <w:sz w:val="24"/>
          <w:szCs w:val="24"/>
        </w:rPr>
        <w:t>00</w:t>
      </w:r>
      <w:r>
        <w:rPr>
          <w:rFonts w:hint="eastAsia" w:ascii="宋体" w:hAnsi="宋体" w:cs="宋体"/>
          <w:sz w:val="24"/>
          <w:szCs w:val="24"/>
        </w:rPr>
        <w:t>元/本（售后不退）</w:t>
      </w:r>
    </w:p>
    <w:p>
      <w:pPr>
        <w:pStyle w:val="3"/>
        <w:spacing w:line="360" w:lineRule="auto"/>
        <w:rPr>
          <w:rFonts w:cs="宋体"/>
          <w:b w:val="0"/>
          <w:szCs w:val="24"/>
        </w:rPr>
      </w:pPr>
      <w:bookmarkStart w:id="16" w:name="_Toc28359015"/>
      <w:bookmarkStart w:id="17" w:name="_Toc35393801"/>
      <w:bookmarkStart w:id="18" w:name="_Toc28359092"/>
      <w:bookmarkStart w:id="19" w:name="_Toc146043856"/>
      <w:bookmarkStart w:id="20" w:name="_Toc35393632"/>
      <w:r>
        <w:rPr>
          <w:rFonts w:hint="eastAsia" w:cs="宋体"/>
          <w:b w:val="0"/>
          <w:szCs w:val="24"/>
        </w:rPr>
        <w:t>四、响应文件提交</w:t>
      </w:r>
      <w:bookmarkEnd w:id="16"/>
      <w:bookmarkEnd w:id="17"/>
      <w:bookmarkEnd w:id="18"/>
      <w:bookmarkEnd w:id="19"/>
      <w:bookmarkEnd w:id="20"/>
    </w:p>
    <w:p>
      <w:pPr>
        <w:spacing w:line="360" w:lineRule="auto"/>
        <w:ind w:firstLine="480" w:firstLineChars="200"/>
        <w:rPr>
          <w:rFonts w:ascii="宋体" w:hAnsi="宋体"/>
          <w:bCs/>
          <w:sz w:val="24"/>
          <w:szCs w:val="24"/>
        </w:rPr>
      </w:pPr>
      <w:r>
        <w:rPr>
          <w:rFonts w:hint="eastAsia" w:ascii="宋体" w:hAnsi="宋体"/>
          <w:sz w:val="24"/>
          <w:szCs w:val="24"/>
        </w:rPr>
        <w:t>响应文件递交截止时间竞争性磋商时间：202</w:t>
      </w:r>
      <w:r>
        <w:rPr>
          <w:rFonts w:ascii="宋体" w:hAnsi="宋体"/>
          <w:sz w:val="24"/>
          <w:szCs w:val="24"/>
        </w:rPr>
        <w:t>3</w:t>
      </w:r>
      <w:r>
        <w:rPr>
          <w:rFonts w:hint="eastAsia" w:ascii="宋体" w:hAnsi="宋体"/>
          <w:sz w:val="24"/>
          <w:szCs w:val="24"/>
        </w:rPr>
        <w:t>年</w:t>
      </w:r>
      <w:r>
        <w:rPr>
          <w:rFonts w:ascii="宋体" w:hAnsi="宋体"/>
          <w:sz w:val="24"/>
          <w:szCs w:val="24"/>
        </w:rPr>
        <w:t>10</w:t>
      </w:r>
      <w:r>
        <w:rPr>
          <w:rFonts w:hint="eastAsia" w:ascii="宋体" w:hAnsi="宋体"/>
          <w:sz w:val="24"/>
          <w:szCs w:val="24"/>
        </w:rPr>
        <w:t>月</w:t>
      </w:r>
      <w:r>
        <w:rPr>
          <w:rFonts w:ascii="宋体" w:hAnsi="宋体"/>
          <w:sz w:val="24"/>
          <w:szCs w:val="24"/>
        </w:rPr>
        <w:t>8</w:t>
      </w:r>
      <w:r>
        <w:rPr>
          <w:rFonts w:hint="eastAsia" w:ascii="宋体" w:hAnsi="宋体"/>
          <w:sz w:val="24"/>
          <w:szCs w:val="24"/>
        </w:rPr>
        <w:t>日1</w:t>
      </w:r>
      <w:r>
        <w:rPr>
          <w:rFonts w:ascii="宋体" w:hAnsi="宋体"/>
          <w:sz w:val="24"/>
          <w:szCs w:val="24"/>
        </w:rPr>
        <w:t>3</w:t>
      </w:r>
      <w:r>
        <w:rPr>
          <w:rFonts w:hint="eastAsia" w:ascii="宋体" w:hAnsi="宋体"/>
          <w:sz w:val="24"/>
          <w:szCs w:val="24"/>
        </w:rPr>
        <w:t>:</w:t>
      </w:r>
      <w:r>
        <w:rPr>
          <w:rFonts w:ascii="宋体" w:hAnsi="宋体"/>
          <w:sz w:val="24"/>
          <w:szCs w:val="24"/>
        </w:rPr>
        <w:t>3</w:t>
      </w:r>
      <w:r>
        <w:rPr>
          <w:rFonts w:hint="eastAsia" w:ascii="宋体" w:hAnsi="宋体"/>
          <w:sz w:val="24"/>
          <w:szCs w:val="24"/>
        </w:rPr>
        <w:t>0（北京时间）</w:t>
      </w:r>
    </w:p>
    <w:p>
      <w:pPr>
        <w:spacing w:line="360" w:lineRule="auto"/>
        <w:ind w:firstLine="480" w:firstLineChars="200"/>
        <w:rPr>
          <w:rFonts w:ascii="宋体" w:hAnsi="宋体"/>
          <w:bCs/>
          <w:sz w:val="24"/>
          <w:szCs w:val="24"/>
        </w:rPr>
      </w:pPr>
      <w:r>
        <w:rPr>
          <w:rFonts w:hint="eastAsia" w:ascii="宋体" w:hAnsi="宋体"/>
          <w:sz w:val="24"/>
          <w:szCs w:val="24"/>
        </w:rPr>
        <w:t>地点：</w:t>
      </w:r>
      <w:r>
        <w:rPr>
          <w:rFonts w:hint="eastAsia" w:ascii="宋体" w:hAnsi="宋体"/>
          <w:sz w:val="24"/>
        </w:rPr>
        <w:t>北京市海淀区学院路3</w:t>
      </w:r>
      <w:r>
        <w:rPr>
          <w:rFonts w:ascii="宋体" w:hAnsi="宋体"/>
          <w:sz w:val="24"/>
        </w:rPr>
        <w:t>0</w:t>
      </w:r>
      <w:r>
        <w:rPr>
          <w:rFonts w:hint="eastAsia" w:ascii="宋体" w:hAnsi="宋体"/>
          <w:sz w:val="24"/>
        </w:rPr>
        <w:t>号科大天工大厦A座</w:t>
      </w:r>
      <w:r>
        <w:rPr>
          <w:rFonts w:ascii="宋体" w:hAnsi="宋体"/>
          <w:sz w:val="24"/>
        </w:rPr>
        <w:t>511</w:t>
      </w:r>
      <w:r>
        <w:rPr>
          <w:rFonts w:hint="eastAsia" w:ascii="宋体" w:hAnsi="宋体"/>
          <w:sz w:val="24"/>
        </w:rPr>
        <w:t>会议室。</w:t>
      </w:r>
    </w:p>
    <w:p>
      <w:pPr>
        <w:pStyle w:val="3"/>
        <w:spacing w:line="360" w:lineRule="auto"/>
        <w:rPr>
          <w:rFonts w:cs="宋体"/>
          <w:b w:val="0"/>
          <w:szCs w:val="24"/>
        </w:rPr>
      </w:pPr>
      <w:bookmarkStart w:id="21" w:name="_Toc35393633"/>
      <w:bookmarkStart w:id="22" w:name="_Toc28359016"/>
      <w:bookmarkStart w:id="23" w:name="_Toc28359093"/>
      <w:bookmarkStart w:id="24" w:name="_Toc35393802"/>
      <w:bookmarkStart w:id="25" w:name="_Toc146043857"/>
      <w:r>
        <w:rPr>
          <w:rFonts w:hint="eastAsia" w:cs="宋体"/>
          <w:b w:val="0"/>
          <w:szCs w:val="24"/>
        </w:rPr>
        <w:t>五、开启</w:t>
      </w:r>
      <w:bookmarkEnd w:id="21"/>
      <w:bookmarkEnd w:id="22"/>
      <w:bookmarkEnd w:id="23"/>
      <w:bookmarkEnd w:id="24"/>
      <w:bookmarkEnd w:id="25"/>
    </w:p>
    <w:p>
      <w:pPr>
        <w:spacing w:line="360" w:lineRule="auto"/>
        <w:ind w:firstLine="480" w:firstLineChars="200"/>
        <w:rPr>
          <w:rFonts w:ascii="宋体" w:hAnsi="宋体"/>
          <w:bCs/>
          <w:sz w:val="24"/>
          <w:szCs w:val="24"/>
        </w:rPr>
      </w:pPr>
      <w:r>
        <w:rPr>
          <w:rFonts w:hint="eastAsia" w:ascii="宋体" w:hAnsi="宋体"/>
          <w:sz w:val="24"/>
          <w:szCs w:val="24"/>
        </w:rPr>
        <w:t>时间：202</w:t>
      </w:r>
      <w:r>
        <w:rPr>
          <w:rFonts w:ascii="宋体" w:hAnsi="宋体"/>
          <w:sz w:val="24"/>
          <w:szCs w:val="24"/>
        </w:rPr>
        <w:t>3</w:t>
      </w:r>
      <w:r>
        <w:rPr>
          <w:rFonts w:hint="eastAsia" w:ascii="宋体" w:hAnsi="宋体"/>
          <w:sz w:val="24"/>
          <w:szCs w:val="24"/>
        </w:rPr>
        <w:t>年</w:t>
      </w:r>
      <w:r>
        <w:rPr>
          <w:rFonts w:ascii="宋体" w:hAnsi="宋体"/>
          <w:sz w:val="24"/>
          <w:szCs w:val="24"/>
        </w:rPr>
        <w:t>10</w:t>
      </w:r>
      <w:r>
        <w:rPr>
          <w:rFonts w:hint="eastAsia" w:ascii="宋体" w:hAnsi="宋体"/>
          <w:sz w:val="24"/>
          <w:szCs w:val="24"/>
        </w:rPr>
        <w:t>月</w:t>
      </w:r>
      <w:r>
        <w:rPr>
          <w:rFonts w:ascii="宋体" w:hAnsi="宋体"/>
          <w:sz w:val="24"/>
          <w:szCs w:val="24"/>
        </w:rPr>
        <w:t>8</w:t>
      </w:r>
      <w:r>
        <w:rPr>
          <w:rFonts w:hint="eastAsia" w:ascii="宋体" w:hAnsi="宋体"/>
          <w:sz w:val="24"/>
          <w:szCs w:val="24"/>
        </w:rPr>
        <w:t>日1</w:t>
      </w:r>
      <w:r>
        <w:rPr>
          <w:rFonts w:ascii="宋体" w:hAnsi="宋体"/>
          <w:sz w:val="24"/>
          <w:szCs w:val="24"/>
        </w:rPr>
        <w:t>3</w:t>
      </w:r>
      <w:r>
        <w:rPr>
          <w:rFonts w:hint="eastAsia" w:ascii="宋体" w:hAnsi="宋体"/>
          <w:sz w:val="24"/>
          <w:szCs w:val="24"/>
        </w:rPr>
        <w:t>:</w:t>
      </w:r>
      <w:r>
        <w:rPr>
          <w:rFonts w:ascii="宋体" w:hAnsi="宋体"/>
          <w:sz w:val="24"/>
          <w:szCs w:val="24"/>
        </w:rPr>
        <w:t>3</w:t>
      </w:r>
      <w:r>
        <w:rPr>
          <w:rFonts w:hint="eastAsia" w:ascii="宋体" w:hAnsi="宋体"/>
          <w:sz w:val="24"/>
          <w:szCs w:val="24"/>
        </w:rPr>
        <w:t>0（北京时间）</w:t>
      </w:r>
    </w:p>
    <w:p>
      <w:pPr>
        <w:spacing w:line="360" w:lineRule="auto"/>
        <w:ind w:firstLine="480" w:firstLineChars="200"/>
        <w:rPr>
          <w:rFonts w:ascii="宋体" w:hAnsi="宋体"/>
          <w:bCs/>
          <w:sz w:val="24"/>
          <w:szCs w:val="24"/>
        </w:rPr>
      </w:pPr>
      <w:r>
        <w:rPr>
          <w:rFonts w:hint="eastAsia" w:ascii="宋体" w:hAnsi="宋体"/>
          <w:sz w:val="24"/>
          <w:szCs w:val="24"/>
        </w:rPr>
        <w:t>地点：</w:t>
      </w:r>
      <w:r>
        <w:rPr>
          <w:rFonts w:hint="eastAsia" w:ascii="宋体" w:hAnsi="宋体"/>
          <w:sz w:val="24"/>
        </w:rPr>
        <w:t>北京市海淀区学院路3</w:t>
      </w:r>
      <w:r>
        <w:rPr>
          <w:rFonts w:ascii="宋体" w:hAnsi="宋体"/>
          <w:sz w:val="24"/>
        </w:rPr>
        <w:t>0</w:t>
      </w:r>
      <w:r>
        <w:rPr>
          <w:rFonts w:hint="eastAsia" w:ascii="宋体" w:hAnsi="宋体"/>
          <w:sz w:val="24"/>
        </w:rPr>
        <w:t>号科大天工大厦A座</w:t>
      </w:r>
      <w:r>
        <w:rPr>
          <w:rFonts w:ascii="宋体" w:hAnsi="宋体"/>
          <w:sz w:val="24"/>
        </w:rPr>
        <w:t>511</w:t>
      </w:r>
      <w:r>
        <w:rPr>
          <w:rFonts w:hint="eastAsia" w:ascii="宋体" w:hAnsi="宋体"/>
          <w:sz w:val="24"/>
        </w:rPr>
        <w:t>会议室。</w:t>
      </w:r>
    </w:p>
    <w:p>
      <w:pPr>
        <w:pStyle w:val="3"/>
        <w:spacing w:line="360" w:lineRule="auto"/>
        <w:rPr>
          <w:rFonts w:cs="宋体"/>
          <w:b w:val="0"/>
          <w:szCs w:val="24"/>
        </w:rPr>
      </w:pPr>
      <w:bookmarkStart w:id="26" w:name="_Toc28359094"/>
      <w:bookmarkStart w:id="27" w:name="_Toc35393634"/>
      <w:bookmarkStart w:id="28" w:name="_Toc146043858"/>
      <w:bookmarkStart w:id="29" w:name="_Toc28359017"/>
      <w:bookmarkStart w:id="30" w:name="_Toc35393803"/>
      <w:r>
        <w:rPr>
          <w:rFonts w:hint="eastAsia" w:cs="宋体"/>
          <w:b w:val="0"/>
          <w:szCs w:val="24"/>
        </w:rPr>
        <w:t>六、公告期限</w:t>
      </w:r>
      <w:bookmarkEnd w:id="26"/>
      <w:bookmarkEnd w:id="27"/>
      <w:bookmarkEnd w:id="28"/>
      <w:bookmarkEnd w:id="29"/>
      <w:bookmarkEnd w:id="30"/>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自本公告发布之日起3个工作日。</w:t>
      </w:r>
    </w:p>
    <w:p>
      <w:pPr>
        <w:pStyle w:val="3"/>
        <w:spacing w:line="360" w:lineRule="auto"/>
        <w:rPr>
          <w:rFonts w:cs="宋体"/>
          <w:b w:val="0"/>
          <w:szCs w:val="24"/>
        </w:rPr>
      </w:pPr>
      <w:bookmarkStart w:id="31" w:name="_Toc35393635"/>
      <w:bookmarkStart w:id="32" w:name="_Toc146043859"/>
      <w:bookmarkStart w:id="33" w:name="_Toc35393804"/>
      <w:r>
        <w:rPr>
          <w:rFonts w:hint="eastAsia" w:cs="宋体"/>
          <w:b w:val="0"/>
          <w:szCs w:val="24"/>
        </w:rPr>
        <w:t>七、其他补充事宜</w:t>
      </w:r>
      <w:bookmarkEnd w:id="31"/>
      <w:bookmarkEnd w:id="32"/>
      <w:bookmarkEnd w:id="33"/>
    </w:p>
    <w:p>
      <w:pPr>
        <w:spacing w:line="360" w:lineRule="auto"/>
        <w:rPr>
          <w:rFonts w:ascii="宋体" w:hAnsi="宋体"/>
          <w:sz w:val="24"/>
          <w:szCs w:val="24"/>
        </w:rPr>
      </w:pPr>
      <w:r>
        <w:rPr>
          <w:rFonts w:ascii="宋体" w:hAnsi="宋体"/>
          <w:sz w:val="24"/>
          <w:szCs w:val="24"/>
        </w:rPr>
        <w:t>1</w:t>
      </w:r>
      <w:r>
        <w:rPr>
          <w:rFonts w:hint="eastAsia" w:ascii="宋体" w:hAnsi="宋体"/>
          <w:sz w:val="24"/>
          <w:szCs w:val="24"/>
        </w:rPr>
        <w:t>.建议优先采用电汇或网银购买标书，请供应商汇款时务必注明“标号+用途”（比如：23ZB0409保证金或者23ZB0409标书款），以便财务查账及汇总。电汇或网银购买标书，请将电汇底单（网银转账页面）扫描件及以下表格发邮件至jowena@163.com，邮件主题请务必注明“（项目编号）购买标书信息”。</w:t>
      </w:r>
    </w:p>
    <w:tbl>
      <w:tblPr>
        <w:tblStyle w:val="4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项目编号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BIECC-</w:t>
            </w:r>
            <w:r>
              <w:rPr>
                <w:rFonts w:ascii="宋体" w:hAnsi="宋体"/>
                <w:sz w:val="24"/>
                <w:szCs w:val="24"/>
              </w:rPr>
              <w:t>23ZB0409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单位名称</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纳税人识别号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快递地址</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联系人</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r>
    </w:tbl>
    <w:p>
      <w:pPr>
        <w:spacing w:line="360" w:lineRule="auto"/>
        <w:rPr>
          <w:rFonts w:ascii="宋体" w:hAnsi="宋体"/>
          <w:sz w:val="24"/>
          <w:szCs w:val="24"/>
        </w:rPr>
      </w:pPr>
      <w:r>
        <w:rPr>
          <w:rFonts w:ascii="宋体" w:hAnsi="宋体"/>
          <w:sz w:val="24"/>
          <w:szCs w:val="24"/>
        </w:rPr>
        <w:t>2.</w:t>
      </w:r>
      <w:r>
        <w:rPr>
          <w:rFonts w:hint="eastAsia" w:ascii="宋体" w:hAnsi="宋体"/>
          <w:sz w:val="24"/>
          <w:szCs w:val="24"/>
        </w:rPr>
        <w:t>汇款账户信息：</w:t>
      </w:r>
    </w:p>
    <w:p>
      <w:pPr>
        <w:spacing w:line="360" w:lineRule="auto"/>
        <w:rPr>
          <w:rFonts w:ascii="宋体" w:hAnsi="宋体"/>
          <w:sz w:val="24"/>
          <w:szCs w:val="24"/>
        </w:rPr>
      </w:pPr>
      <w:r>
        <w:rPr>
          <w:rFonts w:hint="eastAsia" w:ascii="宋体" w:hAnsi="宋体"/>
          <w:sz w:val="24"/>
          <w:szCs w:val="24"/>
        </w:rPr>
        <w:t>开 户 名：北京国际工程咨询有限公司</w:t>
      </w:r>
    </w:p>
    <w:p>
      <w:pPr>
        <w:spacing w:line="360" w:lineRule="auto"/>
        <w:rPr>
          <w:rFonts w:ascii="宋体" w:hAnsi="宋体"/>
          <w:sz w:val="24"/>
          <w:szCs w:val="24"/>
        </w:rPr>
      </w:pPr>
      <w:r>
        <w:rPr>
          <w:rFonts w:hint="eastAsia" w:ascii="宋体" w:hAnsi="宋体"/>
          <w:sz w:val="24"/>
          <w:szCs w:val="24"/>
        </w:rPr>
        <w:t>开户银行：华夏银行北京学院路支行</w:t>
      </w:r>
    </w:p>
    <w:p>
      <w:pPr>
        <w:spacing w:line="360" w:lineRule="auto"/>
        <w:rPr>
          <w:rFonts w:ascii="宋体" w:hAnsi="宋体"/>
          <w:sz w:val="24"/>
          <w:szCs w:val="24"/>
        </w:rPr>
      </w:pPr>
      <w:r>
        <w:rPr>
          <w:rFonts w:hint="eastAsia" w:ascii="宋体" w:hAnsi="宋体"/>
          <w:sz w:val="24"/>
          <w:szCs w:val="24"/>
        </w:rPr>
        <w:t xml:space="preserve">帐  </w:t>
      </w:r>
      <w:r>
        <w:rPr>
          <w:rFonts w:ascii="宋体" w:hAnsi="宋体"/>
          <w:sz w:val="24"/>
          <w:szCs w:val="24"/>
        </w:rPr>
        <w:t xml:space="preserve">  </w:t>
      </w:r>
      <w:r>
        <w:rPr>
          <w:rFonts w:hint="eastAsia" w:ascii="宋体" w:hAnsi="宋体"/>
          <w:sz w:val="24"/>
          <w:szCs w:val="24"/>
        </w:rPr>
        <w:t>号：10242000000002546</w:t>
      </w:r>
    </w:p>
    <w:p>
      <w:pPr>
        <w:spacing w:line="360" w:lineRule="auto"/>
        <w:jc w:val="left"/>
        <w:rPr>
          <w:rFonts w:ascii="宋体" w:hAnsi="宋体"/>
          <w:sz w:val="24"/>
          <w:szCs w:val="24"/>
        </w:rPr>
      </w:pPr>
      <w:r>
        <w:rPr>
          <w:rFonts w:ascii="宋体" w:hAnsi="宋体"/>
          <w:sz w:val="24"/>
          <w:szCs w:val="24"/>
        </w:rPr>
        <w:t>3.</w:t>
      </w:r>
      <w:r>
        <w:rPr>
          <w:rFonts w:hint="eastAsia" w:ascii="宋体" w:hAnsi="宋体"/>
          <w:sz w:val="24"/>
          <w:szCs w:val="24"/>
        </w:rPr>
        <w:t>电子版磋商文件下载地址：</w:t>
      </w:r>
      <w:r>
        <w:rPr>
          <w:rFonts w:ascii="宋体" w:hAnsi="宋体"/>
          <w:sz w:val="24"/>
          <w:szCs w:val="24"/>
        </w:rPr>
        <w:t>http://www.biecc.com.cn/news/Bidding/Download/</w:t>
      </w:r>
    </w:p>
    <w:p>
      <w:pPr>
        <w:spacing w:line="360" w:lineRule="auto"/>
        <w:rPr>
          <w:rFonts w:ascii="宋体" w:hAnsi="宋体"/>
          <w:sz w:val="24"/>
          <w:szCs w:val="24"/>
        </w:rPr>
      </w:pPr>
      <w:r>
        <w:rPr>
          <w:rFonts w:ascii="宋体" w:hAnsi="宋体"/>
          <w:sz w:val="24"/>
          <w:szCs w:val="24"/>
        </w:rPr>
        <w:t>4.</w:t>
      </w:r>
      <w:bookmarkStart w:id="34" w:name="_Toc35393636"/>
      <w:bookmarkStart w:id="35" w:name="_Toc28359095"/>
      <w:bookmarkStart w:id="36" w:name="_Toc28359018"/>
      <w:bookmarkStart w:id="37" w:name="_Toc35393805"/>
      <w:r>
        <w:rPr>
          <w:rFonts w:hint="eastAsia" w:ascii="宋体" w:hAnsi="宋体"/>
          <w:sz w:val="24"/>
          <w:szCs w:val="24"/>
        </w:rPr>
        <w:t>响应文件请于响应文件提交截止时间当日（提交截止时间之前）递交至上述规定地点，逾期概不接收；最终响应文件提交截止时间和开启时间为同一时间，最终报价提交截止时间和开启时间也为同一时间，由磋商小组根据磋商情况现场确定。</w:t>
      </w:r>
    </w:p>
    <w:p>
      <w:pPr>
        <w:spacing w:line="360" w:lineRule="auto"/>
        <w:rPr>
          <w:rFonts w:ascii="宋体" w:hAnsi="宋体"/>
          <w:sz w:val="24"/>
          <w:szCs w:val="24"/>
        </w:rPr>
      </w:pPr>
      <w:r>
        <w:rPr>
          <w:rFonts w:ascii="宋体" w:hAnsi="宋体"/>
          <w:sz w:val="24"/>
          <w:szCs w:val="24"/>
        </w:rPr>
        <w:t>5</w:t>
      </w:r>
      <w:r>
        <w:rPr>
          <w:rFonts w:hint="eastAsia" w:ascii="宋体" w:hAnsi="宋体"/>
          <w:sz w:val="24"/>
          <w:szCs w:val="24"/>
        </w:rPr>
        <w:t xml:space="preserve">.供应商法定代表人或其本项目的授权代表须参加磋商，需出示本人身份证原件。 </w:t>
      </w:r>
    </w:p>
    <w:p>
      <w:pPr>
        <w:spacing w:line="360" w:lineRule="auto"/>
        <w:rPr>
          <w:rFonts w:ascii="宋体" w:hAnsi="宋体"/>
          <w:sz w:val="24"/>
          <w:szCs w:val="24"/>
        </w:rPr>
      </w:pPr>
      <w:r>
        <w:rPr>
          <w:rFonts w:ascii="宋体" w:hAnsi="宋体"/>
          <w:sz w:val="24"/>
          <w:szCs w:val="24"/>
        </w:rPr>
        <w:t>6</w:t>
      </w:r>
      <w:r>
        <w:rPr>
          <w:rFonts w:hint="eastAsia" w:ascii="宋体" w:hAnsi="宋体"/>
          <w:sz w:val="24"/>
          <w:szCs w:val="24"/>
        </w:rPr>
        <w:t>.本项目公告在中国政府采购网上发布，对其他网站转发本公告可能引起的信息误导、造成供应商的经济或其他损失的，采购人及采购代理不负任何责任。</w:t>
      </w:r>
    </w:p>
    <w:p>
      <w:pPr>
        <w:spacing w:line="360" w:lineRule="auto"/>
        <w:rPr>
          <w:rFonts w:ascii="宋体" w:hAnsi="宋体"/>
          <w:sz w:val="24"/>
          <w:szCs w:val="24"/>
        </w:rPr>
      </w:pPr>
      <w:r>
        <w:rPr>
          <w:rFonts w:ascii="宋体" w:hAnsi="宋体"/>
          <w:sz w:val="24"/>
          <w:szCs w:val="24"/>
        </w:rPr>
        <w:t>7</w:t>
      </w:r>
      <w:r>
        <w:rPr>
          <w:rFonts w:hint="eastAsia" w:ascii="宋体" w:hAnsi="宋体"/>
          <w:sz w:val="24"/>
          <w:szCs w:val="24"/>
        </w:rPr>
        <w:t>.凡对本次磋商提出询问，请与北京国际工程咨询有限公司联系。有关招标（采购）文件购买、中标（成交）通知书领取及服务费发票、保证金交纳及退还事宜的联系电话：010-82370821；有关招标（采购）文件技术部分的问题咨询：因项目经理外出、开标等原因，请优先通过电子邮箱bjgjgczb1@163.com联系，或者联系010-82373532。</w:t>
      </w:r>
    </w:p>
    <w:p>
      <w:pPr>
        <w:spacing w:line="360" w:lineRule="auto"/>
        <w:rPr>
          <w:rFonts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本项目不到采购限额，不属于政府采购项目，仅参照政府采购的有关流程执行。</w:t>
      </w:r>
    </w:p>
    <w:p>
      <w:pPr>
        <w:pStyle w:val="3"/>
        <w:spacing w:line="360" w:lineRule="auto"/>
        <w:rPr>
          <w:rFonts w:cs="宋体"/>
          <w:b w:val="0"/>
          <w:szCs w:val="24"/>
        </w:rPr>
      </w:pPr>
      <w:bookmarkStart w:id="38" w:name="_Toc146043860"/>
      <w:r>
        <w:rPr>
          <w:rFonts w:hint="eastAsia" w:cs="宋体"/>
          <w:b w:val="0"/>
          <w:szCs w:val="24"/>
        </w:rPr>
        <w:t>八、凡对本次采购提出询问，请按</w:t>
      </w:r>
      <w:r>
        <w:rPr>
          <w:rFonts w:cs="宋体"/>
          <w:b w:val="0"/>
          <w:szCs w:val="24"/>
        </w:rPr>
        <w:t>以下方式</w:t>
      </w:r>
      <w:r>
        <w:rPr>
          <w:rFonts w:hint="eastAsia" w:cs="宋体"/>
          <w:b w:val="0"/>
          <w:szCs w:val="24"/>
        </w:rPr>
        <w:t>联系。</w:t>
      </w:r>
      <w:bookmarkEnd w:id="34"/>
      <w:bookmarkEnd w:id="35"/>
      <w:bookmarkEnd w:id="36"/>
      <w:bookmarkEnd w:id="37"/>
      <w:bookmarkEnd w:id="38"/>
    </w:p>
    <w:p>
      <w:pPr>
        <w:spacing w:line="360" w:lineRule="auto"/>
        <w:ind w:left="1079" w:leftChars="371" w:hanging="300" w:hangingChars="125"/>
        <w:jc w:val="left"/>
        <w:rPr>
          <w:rFonts w:ascii="宋体" w:hAnsi="宋体"/>
          <w:sz w:val="24"/>
          <w:szCs w:val="24"/>
        </w:rPr>
      </w:pPr>
      <w:bookmarkStart w:id="39" w:name="_Toc35393806"/>
      <w:bookmarkStart w:id="40" w:name="_Toc28359096"/>
      <w:bookmarkStart w:id="41" w:name="_Toc28359019"/>
      <w:bookmarkStart w:id="42" w:name="_Toc35393637"/>
      <w:r>
        <w:rPr>
          <w:rFonts w:hint="eastAsia" w:ascii="宋体" w:hAnsi="宋体"/>
          <w:sz w:val="24"/>
          <w:szCs w:val="24"/>
        </w:rPr>
        <w:t>1.采购人信息</w:t>
      </w:r>
      <w:bookmarkEnd w:id="39"/>
      <w:bookmarkEnd w:id="40"/>
      <w:bookmarkEnd w:id="41"/>
      <w:bookmarkEnd w:id="42"/>
    </w:p>
    <w:p>
      <w:pPr>
        <w:spacing w:line="360" w:lineRule="auto"/>
        <w:ind w:left="1079" w:leftChars="371" w:hanging="300" w:hangingChars="125"/>
        <w:jc w:val="left"/>
        <w:rPr>
          <w:rFonts w:ascii="宋体" w:hAnsi="宋体"/>
          <w:sz w:val="24"/>
          <w:szCs w:val="24"/>
        </w:rPr>
      </w:pPr>
      <w:r>
        <w:rPr>
          <w:rFonts w:hint="eastAsia" w:ascii="宋体" w:hAnsi="宋体"/>
          <w:sz w:val="24"/>
          <w:szCs w:val="24"/>
        </w:rPr>
        <w:t>名    称：清华大学</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地    址：北京市海淀区清华大学，邮编100084</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联系方式：</w:t>
      </w:r>
      <w:r>
        <w:rPr>
          <w:rFonts w:ascii="宋体" w:hAnsi="宋体"/>
          <w:sz w:val="24"/>
          <w:szCs w:val="24"/>
        </w:rPr>
        <w:t xml:space="preserve"> 010-62799966-8688</w:t>
      </w:r>
    </w:p>
    <w:p>
      <w:pPr>
        <w:spacing w:line="360" w:lineRule="auto"/>
        <w:ind w:left="1079" w:leftChars="371" w:hanging="300" w:hangingChars="125"/>
        <w:jc w:val="left"/>
        <w:rPr>
          <w:rFonts w:ascii="宋体" w:hAnsi="宋体"/>
          <w:sz w:val="24"/>
          <w:szCs w:val="24"/>
        </w:rPr>
      </w:pPr>
      <w:bookmarkStart w:id="43" w:name="_Toc35393638"/>
      <w:bookmarkStart w:id="44" w:name="_Toc28359020"/>
      <w:bookmarkStart w:id="45" w:name="_Toc28359097"/>
      <w:bookmarkStart w:id="46" w:name="_Toc35393807"/>
      <w:r>
        <w:rPr>
          <w:rFonts w:hint="eastAsia" w:ascii="宋体" w:hAnsi="宋体"/>
          <w:sz w:val="24"/>
          <w:szCs w:val="24"/>
        </w:rPr>
        <w:t>2.采购代理机构信息</w:t>
      </w:r>
      <w:bookmarkEnd w:id="43"/>
      <w:bookmarkEnd w:id="44"/>
      <w:bookmarkEnd w:id="45"/>
      <w:bookmarkEnd w:id="46"/>
    </w:p>
    <w:p>
      <w:pPr>
        <w:spacing w:line="360" w:lineRule="auto"/>
        <w:ind w:left="1079" w:leftChars="371" w:hanging="300" w:hangingChars="125"/>
        <w:jc w:val="left"/>
        <w:rPr>
          <w:rFonts w:ascii="宋体" w:hAnsi="宋体"/>
          <w:sz w:val="24"/>
          <w:szCs w:val="24"/>
        </w:rPr>
      </w:pPr>
      <w:r>
        <w:rPr>
          <w:rFonts w:hint="eastAsia" w:ascii="宋体" w:hAnsi="宋体"/>
          <w:sz w:val="24"/>
          <w:szCs w:val="24"/>
        </w:rPr>
        <w:t>名    称：北京国际工程咨询有限公司</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地　　址：北京市海淀区学院路30号科大天工大厦A座6层</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联系方式：</w:t>
      </w:r>
      <w:r>
        <w:rPr>
          <w:rFonts w:ascii="宋体" w:hAnsi="宋体"/>
          <w:sz w:val="24"/>
          <w:szCs w:val="24"/>
        </w:rPr>
        <w:t>010-82373532</w:t>
      </w:r>
    </w:p>
    <w:p>
      <w:pPr>
        <w:spacing w:line="360" w:lineRule="auto"/>
        <w:ind w:left="1079" w:leftChars="371" w:hanging="300" w:hangingChars="125"/>
        <w:jc w:val="left"/>
        <w:rPr>
          <w:rFonts w:ascii="宋体" w:hAnsi="宋体"/>
          <w:sz w:val="24"/>
          <w:szCs w:val="24"/>
        </w:rPr>
      </w:pPr>
      <w:bookmarkStart w:id="47" w:name="_Toc35393639"/>
      <w:bookmarkStart w:id="48" w:name="_Toc35393808"/>
      <w:bookmarkStart w:id="49" w:name="_Toc28359098"/>
      <w:bookmarkStart w:id="50" w:name="_Toc28359021"/>
      <w:r>
        <w:rPr>
          <w:rFonts w:hint="eastAsia" w:ascii="宋体" w:hAnsi="宋体"/>
          <w:sz w:val="24"/>
          <w:szCs w:val="24"/>
        </w:rPr>
        <w:t>3.项目联系</w:t>
      </w:r>
      <w:r>
        <w:rPr>
          <w:rFonts w:ascii="宋体" w:hAnsi="宋体"/>
          <w:sz w:val="24"/>
          <w:szCs w:val="24"/>
        </w:rPr>
        <w:t>方式</w:t>
      </w:r>
      <w:bookmarkEnd w:id="47"/>
      <w:bookmarkEnd w:id="48"/>
      <w:bookmarkEnd w:id="49"/>
      <w:bookmarkEnd w:id="50"/>
    </w:p>
    <w:p>
      <w:pPr>
        <w:spacing w:line="360" w:lineRule="auto"/>
        <w:ind w:left="1079" w:leftChars="371" w:hanging="300" w:hangingChars="125"/>
        <w:jc w:val="left"/>
        <w:rPr>
          <w:rFonts w:ascii="宋体" w:hAnsi="宋体"/>
          <w:sz w:val="24"/>
          <w:szCs w:val="24"/>
        </w:rPr>
      </w:pPr>
      <w:r>
        <w:rPr>
          <w:rFonts w:hint="eastAsia" w:ascii="宋体" w:hAnsi="宋体"/>
          <w:sz w:val="24"/>
          <w:szCs w:val="24"/>
        </w:rPr>
        <w:t>项目联系人：王蕾蕾、杨梦雪</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电　　 话：</w:t>
      </w:r>
      <w:r>
        <w:rPr>
          <w:rFonts w:ascii="宋体" w:hAnsi="宋体"/>
          <w:sz w:val="24"/>
          <w:szCs w:val="24"/>
        </w:rPr>
        <w:t>010-82373532</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 xml:space="preserve">邮 </w:t>
      </w:r>
      <w:r>
        <w:rPr>
          <w:rFonts w:ascii="宋体" w:hAnsi="宋体"/>
          <w:sz w:val="24"/>
          <w:szCs w:val="24"/>
        </w:rPr>
        <w:t xml:space="preserve">    </w:t>
      </w:r>
      <w:r>
        <w:rPr>
          <w:rFonts w:hint="eastAsia" w:ascii="宋体" w:hAnsi="宋体"/>
          <w:sz w:val="24"/>
          <w:szCs w:val="24"/>
        </w:rPr>
        <w:t>箱：bjgjgczb1@163.com</w:t>
      </w:r>
    </w:p>
    <w:p>
      <w:pPr>
        <w:pStyle w:val="2"/>
        <w:numPr>
          <w:ilvl w:val="0"/>
          <w:numId w:val="0"/>
        </w:numPr>
        <w:spacing w:line="360" w:lineRule="auto"/>
        <w:rPr>
          <w:rFonts w:ascii="宋体" w:hAnsi="宋体"/>
          <w:sz w:val="28"/>
          <w:szCs w:val="28"/>
        </w:rPr>
      </w:pPr>
      <w:bookmarkStart w:id="51" w:name="_Toc146043861"/>
      <w:r>
        <w:rPr>
          <w:rFonts w:hint="eastAsia" w:ascii="宋体" w:hAnsi="宋体"/>
          <w:sz w:val="28"/>
          <w:szCs w:val="28"/>
        </w:rPr>
        <w:t>第二章  供应商须知资料表</w:t>
      </w:r>
      <w:bookmarkEnd w:id="51"/>
    </w:p>
    <w:p>
      <w:pPr>
        <w:spacing w:line="360" w:lineRule="auto"/>
        <w:ind w:firstLine="480" w:firstLineChars="200"/>
        <w:rPr>
          <w:rFonts w:ascii="宋体" w:hAnsi="宋体"/>
          <w:b/>
          <w:w w:val="90"/>
          <w:sz w:val="24"/>
          <w:szCs w:val="24"/>
        </w:rPr>
      </w:pPr>
      <w:r>
        <w:rPr>
          <w:rFonts w:hint="eastAsia" w:ascii="宋体" w:hAnsi="宋体"/>
          <w:sz w:val="24"/>
          <w:szCs w:val="24"/>
        </w:rPr>
        <w:t>本表关于本项目的具体资料是对第三章供应商须知的具体补充和修改，如有矛盾，应以本表为准。</w:t>
      </w:r>
    </w:p>
    <w:tbl>
      <w:tblPr>
        <w:tblStyle w:val="48"/>
        <w:tblW w:w="8981"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4"/>
        <w:gridCol w:w="7527"/>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454"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b/>
                <w:sz w:val="24"/>
                <w:szCs w:val="24"/>
              </w:rPr>
            </w:pPr>
            <w:r>
              <w:rPr>
                <w:rFonts w:hint="eastAsia" w:ascii="宋体" w:hAnsi="宋体"/>
                <w:b/>
                <w:sz w:val="24"/>
                <w:szCs w:val="24"/>
              </w:rPr>
              <w:t>条款号</w:t>
            </w:r>
          </w:p>
        </w:tc>
        <w:tc>
          <w:tcPr>
            <w:tcW w:w="7527"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b/>
                <w:sz w:val="24"/>
                <w:szCs w:val="24"/>
              </w:rPr>
            </w:pPr>
            <w:r>
              <w:rPr>
                <w:rFonts w:hint="eastAsia" w:ascii="宋体" w:hAnsi="宋体"/>
                <w:b/>
                <w:sz w:val="24"/>
                <w:szCs w:val="24"/>
              </w:rPr>
              <w:t>内          容</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ind w:firstLine="360" w:firstLineChars="150"/>
              <w:rPr>
                <w:rFonts w:ascii="宋体" w:hAnsi="宋体"/>
                <w:sz w:val="24"/>
              </w:rPr>
            </w:pPr>
            <w:r>
              <w:rPr>
                <w:rFonts w:hint="eastAsia" w:ascii="宋体" w:hAnsi="宋体"/>
                <w:sz w:val="24"/>
              </w:rPr>
              <w:t>1.1</w:t>
            </w:r>
          </w:p>
        </w:tc>
        <w:tc>
          <w:tcPr>
            <w:tcW w:w="7527"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sz w:val="24"/>
              </w:rPr>
            </w:pPr>
            <w:r>
              <w:rPr>
                <w:rFonts w:hint="eastAsia" w:ascii="宋体" w:hAnsi="宋体"/>
                <w:sz w:val="24"/>
              </w:rPr>
              <w:t>采购人：清华大学</w:t>
            </w:r>
          </w:p>
          <w:p>
            <w:pPr>
              <w:spacing w:line="360" w:lineRule="auto"/>
              <w:rPr>
                <w:rFonts w:ascii="宋体" w:hAnsi="宋体"/>
                <w:sz w:val="24"/>
              </w:rPr>
            </w:pPr>
            <w:r>
              <w:rPr>
                <w:rFonts w:hint="eastAsia" w:ascii="宋体" w:hAnsi="宋体"/>
                <w:sz w:val="24"/>
              </w:rPr>
              <w:t>采购人地址：北京市海淀区清华大学，邮编100084</w:t>
            </w:r>
          </w:p>
          <w:p>
            <w:pPr>
              <w:spacing w:line="360" w:lineRule="auto"/>
              <w:rPr>
                <w:rFonts w:ascii="宋体" w:hAnsi="宋体"/>
                <w:sz w:val="24"/>
              </w:rPr>
            </w:pPr>
            <w:r>
              <w:rPr>
                <w:rFonts w:hint="eastAsia" w:ascii="宋体" w:hAnsi="宋体"/>
                <w:sz w:val="24"/>
              </w:rPr>
              <w:t>采购人联系方式：</w:t>
            </w:r>
            <w:r>
              <w:rPr>
                <w:rFonts w:ascii="宋体" w:hAnsi="宋体"/>
                <w:sz w:val="24"/>
                <w:szCs w:val="24"/>
              </w:rPr>
              <w:t>010-62799966-8688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1451"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1.2</w:t>
            </w:r>
          </w:p>
        </w:tc>
        <w:tc>
          <w:tcPr>
            <w:tcW w:w="7527"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sz w:val="24"/>
              </w:rPr>
            </w:pPr>
            <w:r>
              <w:rPr>
                <w:rFonts w:hint="eastAsia" w:ascii="宋体" w:hAnsi="宋体"/>
                <w:sz w:val="24"/>
              </w:rPr>
              <w:t>采购代理机构：北京国际工程咨询有限公司</w:t>
            </w:r>
          </w:p>
          <w:p>
            <w:pPr>
              <w:spacing w:line="360" w:lineRule="auto"/>
              <w:rPr>
                <w:rFonts w:ascii="宋体" w:hAnsi="宋体"/>
                <w:sz w:val="24"/>
              </w:rPr>
            </w:pPr>
            <w:r>
              <w:rPr>
                <w:rFonts w:hint="eastAsia" w:ascii="宋体" w:hAnsi="宋体"/>
                <w:sz w:val="24"/>
              </w:rPr>
              <w:t>地址：北京市海淀区学院路30号科大天工大厦A座6层</w:t>
            </w:r>
          </w:p>
          <w:p>
            <w:pPr>
              <w:widowControl/>
              <w:autoSpaceDE w:val="0"/>
              <w:autoSpaceDN w:val="0"/>
              <w:spacing w:line="360" w:lineRule="auto"/>
              <w:ind w:right="-20"/>
              <w:textAlignment w:val="bottom"/>
              <w:rPr>
                <w:rFonts w:ascii="宋体" w:hAnsi="宋体"/>
                <w:sz w:val="24"/>
                <w:szCs w:val="24"/>
              </w:rPr>
            </w:pPr>
            <w:r>
              <w:rPr>
                <w:rFonts w:hint="eastAsia" w:ascii="宋体" w:hAnsi="宋体"/>
                <w:sz w:val="24"/>
              </w:rPr>
              <w:t>邮编：100083</w:t>
            </w:r>
          </w:p>
          <w:p>
            <w:pPr>
              <w:widowControl/>
              <w:autoSpaceDE w:val="0"/>
              <w:autoSpaceDN w:val="0"/>
              <w:spacing w:line="360" w:lineRule="auto"/>
              <w:ind w:right="-20"/>
              <w:textAlignment w:val="bottom"/>
              <w:rPr>
                <w:rFonts w:ascii="宋体" w:hAnsi="宋体"/>
                <w:sz w:val="24"/>
                <w:szCs w:val="24"/>
              </w:rPr>
            </w:pPr>
            <w:r>
              <w:rPr>
                <w:rFonts w:hint="eastAsia" w:ascii="宋体" w:hAnsi="宋体"/>
                <w:sz w:val="24"/>
                <w:szCs w:val="24"/>
              </w:rPr>
              <w:t>联系人：王蕾蕾、杨梦雪</w:t>
            </w:r>
          </w:p>
          <w:p>
            <w:pPr>
              <w:widowControl/>
              <w:autoSpaceDE w:val="0"/>
              <w:autoSpaceDN w:val="0"/>
              <w:spacing w:line="360" w:lineRule="auto"/>
              <w:ind w:right="-20"/>
              <w:textAlignment w:val="bottom"/>
              <w:rPr>
                <w:rFonts w:ascii="宋体" w:hAnsi="宋体"/>
                <w:sz w:val="24"/>
                <w:szCs w:val="24"/>
              </w:rPr>
            </w:pPr>
            <w:r>
              <w:rPr>
                <w:rFonts w:hint="eastAsia" w:ascii="宋体" w:hAnsi="宋体"/>
                <w:sz w:val="24"/>
                <w:szCs w:val="24"/>
              </w:rPr>
              <w:t>电话：0</w:t>
            </w:r>
            <w:r>
              <w:rPr>
                <w:rFonts w:ascii="宋体" w:hAnsi="宋体"/>
                <w:sz w:val="24"/>
                <w:szCs w:val="24"/>
              </w:rPr>
              <w:t>10</w:t>
            </w:r>
            <w:r>
              <w:rPr>
                <w:rFonts w:hint="eastAsia" w:ascii="宋体" w:hAnsi="宋体"/>
                <w:sz w:val="24"/>
                <w:szCs w:val="24"/>
              </w:rPr>
              <w:t>-</w:t>
            </w:r>
            <w:r>
              <w:rPr>
                <w:rFonts w:ascii="宋体" w:hAnsi="宋体"/>
                <w:sz w:val="24"/>
                <w:szCs w:val="24"/>
              </w:rPr>
              <w:t>82373532</w:t>
            </w:r>
          </w:p>
          <w:p>
            <w:pPr>
              <w:widowControl/>
              <w:autoSpaceDE w:val="0"/>
              <w:autoSpaceDN w:val="0"/>
              <w:spacing w:line="360" w:lineRule="auto"/>
              <w:ind w:right="-20"/>
              <w:textAlignment w:val="bottom"/>
              <w:rPr>
                <w:rFonts w:ascii="宋体" w:hAnsi="宋体"/>
                <w:sz w:val="24"/>
                <w:szCs w:val="24"/>
              </w:rPr>
            </w:pPr>
            <w:r>
              <w:rPr>
                <w:rFonts w:hint="eastAsia" w:ascii="宋体" w:hAnsi="宋体"/>
                <w:sz w:val="24"/>
                <w:szCs w:val="24"/>
              </w:rPr>
              <w:t>传真：</w:t>
            </w:r>
            <w:r>
              <w:rPr>
                <w:rFonts w:hint="eastAsia" w:ascii="宋体" w:hAnsi="宋体"/>
                <w:sz w:val="24"/>
              </w:rPr>
              <w:t>010-82376725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1454" w:type="dxa"/>
            <w:tcBorders>
              <w:top w:val="single" w:color="auto" w:sz="4" w:space="0"/>
              <w:left w:val="doub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1.3</w:t>
            </w:r>
          </w:p>
        </w:tc>
        <w:tc>
          <w:tcPr>
            <w:tcW w:w="7527"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本项目资金来源为财政性资金，如供应商的报价超过财政预算，则采购人无法支付。本项目预算金额：人民币</w:t>
            </w:r>
            <w:r>
              <w:rPr>
                <w:rFonts w:ascii="宋体" w:hAnsi="宋体" w:cs="Arial"/>
                <w:sz w:val="24"/>
                <w:szCs w:val="24"/>
              </w:rPr>
              <w:t>39万元</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2.2</w:t>
            </w:r>
          </w:p>
        </w:tc>
        <w:tc>
          <w:tcPr>
            <w:tcW w:w="7527" w:type="dxa"/>
            <w:tcBorders>
              <w:top w:val="single" w:color="auto" w:sz="4" w:space="0"/>
              <w:left w:val="single" w:color="auto" w:sz="4" w:space="0"/>
              <w:bottom w:val="single" w:color="auto" w:sz="4" w:space="0"/>
              <w:right w:val="double" w:color="auto" w:sz="4" w:space="0"/>
            </w:tcBorders>
            <w:vAlign w:val="center"/>
          </w:tcPr>
          <w:p>
            <w:pPr>
              <w:pStyle w:val="61"/>
              <w:rPr>
                <w:rFonts w:ascii="宋体" w:hAnsi="宋体"/>
                <w:sz w:val="24"/>
                <w:szCs w:val="24"/>
              </w:rPr>
            </w:pPr>
            <w:r>
              <w:rPr>
                <w:rFonts w:hint="eastAsia" w:ascii="宋体" w:hAnsi="宋体"/>
                <w:sz w:val="24"/>
                <w:szCs w:val="24"/>
              </w:rPr>
              <w:t>是否为专门面向中小企业采购：否</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2</w:t>
            </w:r>
            <w:r>
              <w:rPr>
                <w:rFonts w:ascii="宋体" w:hAnsi="宋体"/>
                <w:sz w:val="24"/>
                <w:szCs w:val="24"/>
              </w:rPr>
              <w:t>.3</w:t>
            </w:r>
          </w:p>
        </w:tc>
        <w:tc>
          <w:tcPr>
            <w:tcW w:w="7527" w:type="dxa"/>
            <w:tcBorders>
              <w:top w:val="single" w:color="auto" w:sz="4" w:space="0"/>
              <w:left w:val="single" w:color="auto" w:sz="4" w:space="0"/>
              <w:bottom w:val="single" w:color="auto" w:sz="4" w:space="0"/>
              <w:right w:val="double" w:color="auto" w:sz="4" w:space="0"/>
            </w:tcBorders>
            <w:vAlign w:val="center"/>
          </w:tcPr>
          <w:p>
            <w:pPr>
              <w:pStyle w:val="61"/>
              <w:rPr>
                <w:rFonts w:ascii="宋体" w:hAnsi="宋体"/>
                <w:sz w:val="24"/>
                <w:szCs w:val="24"/>
              </w:rPr>
            </w:pPr>
            <w:r>
              <w:rPr>
                <w:rFonts w:hint="eastAsia" w:ascii="宋体" w:hAnsi="宋体"/>
                <w:sz w:val="24"/>
                <w:szCs w:val="24"/>
              </w:rPr>
              <w:t>本项目不接受进口产品。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2.4</w:t>
            </w:r>
          </w:p>
        </w:tc>
        <w:tc>
          <w:tcPr>
            <w:tcW w:w="7527" w:type="dxa"/>
            <w:tcBorders>
              <w:top w:val="single" w:color="auto" w:sz="4" w:space="0"/>
              <w:left w:val="single" w:color="auto" w:sz="4" w:space="0"/>
              <w:bottom w:val="single" w:color="auto" w:sz="4" w:space="0"/>
              <w:right w:val="double" w:color="auto" w:sz="4" w:space="0"/>
            </w:tcBorders>
            <w:vAlign w:val="center"/>
          </w:tcPr>
          <w:p>
            <w:pPr>
              <w:pStyle w:val="61"/>
              <w:rPr>
                <w:rFonts w:ascii="宋体" w:hAnsi="宋体"/>
                <w:sz w:val="24"/>
                <w:szCs w:val="24"/>
              </w:rPr>
            </w:pPr>
            <w:r>
              <w:rPr>
                <w:rFonts w:hint="eastAsia" w:ascii="宋体" w:hAnsi="宋体"/>
                <w:sz w:val="24"/>
                <w:szCs w:val="24"/>
              </w:rPr>
              <w:t>本项目不得以联合体形式进行报价。</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3.1</w:t>
            </w:r>
          </w:p>
        </w:tc>
        <w:tc>
          <w:tcPr>
            <w:tcW w:w="7527" w:type="dxa"/>
            <w:tcBorders>
              <w:top w:val="single" w:color="auto" w:sz="4" w:space="0"/>
              <w:left w:val="single" w:color="auto" w:sz="4" w:space="0"/>
              <w:bottom w:val="single" w:color="auto" w:sz="4" w:space="0"/>
              <w:right w:val="double" w:color="auto" w:sz="4" w:space="0"/>
            </w:tcBorders>
            <w:vAlign w:val="center"/>
          </w:tcPr>
          <w:p>
            <w:pPr>
              <w:pStyle w:val="61"/>
              <w:rPr>
                <w:rFonts w:ascii="宋体" w:hAnsi="宋体"/>
                <w:sz w:val="24"/>
                <w:szCs w:val="24"/>
              </w:rPr>
            </w:pPr>
            <w:r>
              <w:rPr>
                <w:rFonts w:hint="eastAsia" w:ascii="宋体" w:hAnsi="宋体"/>
                <w:sz w:val="24"/>
                <w:szCs w:val="24"/>
              </w:rPr>
              <w:t>本文件售价为</w:t>
            </w:r>
            <w:r>
              <w:rPr>
                <w:rFonts w:ascii="宋体" w:hAnsi="宋体"/>
                <w:sz w:val="24"/>
                <w:szCs w:val="24"/>
              </w:rPr>
              <w:t>500</w:t>
            </w:r>
            <w:r>
              <w:rPr>
                <w:rFonts w:hint="eastAsia" w:ascii="宋体" w:hAnsi="宋体"/>
                <w:sz w:val="24"/>
                <w:szCs w:val="24"/>
              </w:rPr>
              <w:t>元人民币，文件售出概不退还。</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w:t>
            </w:r>
            <w:r>
              <w:rPr>
                <w:rFonts w:ascii="宋体" w:hAnsi="宋体"/>
                <w:sz w:val="24"/>
                <w:szCs w:val="24"/>
              </w:rPr>
              <w:t>.2</w:t>
            </w:r>
          </w:p>
        </w:tc>
        <w:tc>
          <w:tcPr>
            <w:tcW w:w="7527" w:type="dxa"/>
            <w:tcBorders>
              <w:top w:val="single" w:color="auto" w:sz="4" w:space="0"/>
              <w:left w:val="single" w:color="auto" w:sz="4" w:space="0"/>
              <w:bottom w:val="single" w:color="auto" w:sz="4" w:space="0"/>
              <w:right w:val="double" w:color="auto" w:sz="4" w:space="0"/>
            </w:tcBorders>
            <w:vAlign w:val="center"/>
          </w:tcPr>
          <w:p>
            <w:pPr>
              <w:pStyle w:val="61"/>
              <w:rPr>
                <w:rFonts w:ascii="宋体" w:hAnsi="宋体"/>
                <w:sz w:val="24"/>
                <w:szCs w:val="24"/>
              </w:rPr>
            </w:pPr>
            <w:r>
              <w:rPr>
                <w:rFonts w:hint="eastAsia" w:ascii="宋体" w:hAnsi="宋体"/>
                <w:sz w:val="24"/>
                <w:szCs w:val="24"/>
              </w:rPr>
              <w:t>本项目对未成交的供应商的响应文件中提交的技术成果不进行补偿。</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5.1</w:t>
            </w:r>
          </w:p>
        </w:tc>
        <w:tc>
          <w:tcPr>
            <w:tcW w:w="7527" w:type="dxa"/>
            <w:tcBorders>
              <w:top w:val="single" w:color="auto" w:sz="4" w:space="0"/>
              <w:left w:val="single" w:color="auto" w:sz="4" w:space="0"/>
              <w:bottom w:val="single" w:color="auto" w:sz="4" w:space="0"/>
              <w:right w:val="double" w:color="auto" w:sz="4" w:space="0"/>
            </w:tcBorders>
            <w:vAlign w:val="center"/>
          </w:tcPr>
          <w:p>
            <w:pPr>
              <w:pStyle w:val="61"/>
              <w:spacing w:line="360" w:lineRule="auto"/>
              <w:rPr>
                <w:rFonts w:ascii="宋体" w:hAnsi="宋体"/>
                <w:sz w:val="24"/>
                <w:szCs w:val="24"/>
              </w:rPr>
            </w:pPr>
            <w:r>
              <w:rPr>
                <w:rFonts w:hint="eastAsia" w:ascii="宋体" w:hAnsi="宋体"/>
                <w:sz w:val="24"/>
                <w:szCs w:val="24"/>
              </w:rPr>
              <w:t>澄清截止日期：磋商文件递交截止日期前3天</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7.1</w:t>
            </w:r>
          </w:p>
        </w:tc>
        <w:tc>
          <w:tcPr>
            <w:tcW w:w="7527" w:type="dxa"/>
            <w:tcBorders>
              <w:top w:val="single" w:color="auto" w:sz="4" w:space="0"/>
              <w:left w:val="single" w:color="auto" w:sz="4" w:space="0"/>
              <w:bottom w:val="single" w:color="auto" w:sz="4" w:space="0"/>
              <w:right w:val="double" w:color="auto" w:sz="4" w:space="0"/>
            </w:tcBorders>
            <w:vAlign w:val="center"/>
          </w:tcPr>
          <w:p>
            <w:pPr>
              <w:pStyle w:val="61"/>
              <w:rPr>
                <w:rFonts w:ascii="宋体" w:hAnsi="宋体"/>
                <w:sz w:val="24"/>
                <w:szCs w:val="24"/>
              </w:rPr>
            </w:pPr>
            <w:r>
              <w:rPr>
                <w:rFonts w:hint="eastAsia" w:ascii="宋体" w:hAnsi="宋体"/>
                <w:sz w:val="24"/>
                <w:szCs w:val="24"/>
              </w:rPr>
              <w:t>语言：中文</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8.1.2（1）</w:t>
            </w:r>
          </w:p>
        </w:tc>
        <w:tc>
          <w:tcPr>
            <w:tcW w:w="7527" w:type="dxa"/>
            <w:tcBorders>
              <w:top w:val="single" w:color="auto" w:sz="4" w:space="0"/>
              <w:left w:val="single" w:color="auto" w:sz="4" w:space="0"/>
              <w:bottom w:val="single" w:color="auto" w:sz="4" w:space="0"/>
              <w:right w:val="double" w:color="auto" w:sz="4" w:space="0"/>
            </w:tcBorders>
            <w:vAlign w:val="center"/>
          </w:tcPr>
          <w:p>
            <w:pPr>
              <w:tabs>
                <w:tab w:val="left" w:pos="8640"/>
              </w:tabs>
              <w:spacing w:line="360" w:lineRule="auto"/>
              <w:ind w:left="46" w:leftChars="22" w:right="281" w:rightChars="134" w:firstLine="48" w:firstLineChars="20"/>
              <w:rPr>
                <w:rFonts w:ascii="宋体" w:hAnsi="宋体"/>
                <w:sz w:val="24"/>
                <w:szCs w:val="24"/>
              </w:rPr>
            </w:pPr>
            <w:r>
              <w:rPr>
                <w:rFonts w:hint="eastAsia" w:ascii="宋体" w:hAnsi="宋体"/>
                <w:sz w:val="24"/>
                <w:szCs w:val="24"/>
              </w:rPr>
              <w:t>供应商</w:t>
            </w:r>
            <w:r>
              <w:rPr>
                <w:rFonts w:ascii="宋体" w:hAnsi="宋体"/>
                <w:sz w:val="24"/>
                <w:szCs w:val="24"/>
              </w:rPr>
              <w:t>资格证明文件</w:t>
            </w:r>
            <w:r>
              <w:rPr>
                <w:rFonts w:hint="eastAsia" w:ascii="宋体" w:hAnsi="宋体"/>
                <w:sz w:val="24"/>
                <w:szCs w:val="24"/>
              </w:rPr>
              <w:t>：</w:t>
            </w:r>
          </w:p>
          <w:p>
            <w:pPr>
              <w:tabs>
                <w:tab w:val="left" w:pos="8640"/>
              </w:tabs>
              <w:spacing w:line="360" w:lineRule="auto"/>
              <w:ind w:left="46" w:leftChars="22" w:right="281" w:rightChars="134" w:firstLine="48" w:firstLineChars="20"/>
              <w:rPr>
                <w:rFonts w:ascii="宋体" w:hAnsi="宋体"/>
                <w:sz w:val="24"/>
                <w:szCs w:val="24"/>
              </w:rPr>
            </w:pPr>
            <w:r>
              <w:rPr>
                <w:rFonts w:hint="eastAsia" w:ascii="宋体" w:hAnsi="宋体"/>
                <w:sz w:val="24"/>
                <w:szCs w:val="24"/>
              </w:rPr>
              <w:t xml:space="preserve">A、三证合一的营业执照或事业单位法人证书副本复印件（复印件须加盖公章）；供应商是自然人的，应提供其有效的自然人身份证明复印件； </w:t>
            </w:r>
          </w:p>
          <w:p>
            <w:pPr>
              <w:tabs>
                <w:tab w:val="left" w:pos="8640"/>
              </w:tabs>
              <w:spacing w:line="360" w:lineRule="auto"/>
              <w:ind w:left="46" w:leftChars="22" w:right="281" w:rightChars="134" w:firstLine="48" w:firstLineChars="20"/>
              <w:rPr>
                <w:rFonts w:ascii="宋体" w:hAnsi="宋体"/>
                <w:sz w:val="24"/>
                <w:szCs w:val="24"/>
              </w:rPr>
            </w:pPr>
            <w:r>
              <w:rPr>
                <w:rFonts w:hint="eastAsia" w:ascii="宋体" w:hAnsi="宋体"/>
                <w:sz w:val="24"/>
                <w:szCs w:val="24"/>
              </w:rPr>
              <w:t>B、法定代表人授权书（参加本项目磋商的授权）；</w:t>
            </w:r>
          </w:p>
          <w:p>
            <w:pPr>
              <w:tabs>
                <w:tab w:val="left" w:pos="8640"/>
              </w:tabs>
              <w:spacing w:line="360" w:lineRule="auto"/>
              <w:ind w:left="46" w:leftChars="22" w:right="281" w:rightChars="134" w:firstLine="48" w:firstLineChars="20"/>
              <w:rPr>
                <w:rFonts w:ascii="宋体" w:hAnsi="宋体"/>
                <w:sz w:val="24"/>
                <w:szCs w:val="24"/>
              </w:rPr>
            </w:pPr>
            <w:r>
              <w:rPr>
                <w:rFonts w:hint="eastAsia" w:ascii="宋体" w:hAnsi="宋体"/>
                <w:sz w:val="24"/>
                <w:szCs w:val="24"/>
              </w:rPr>
              <w:t>C、供应商声明函（格式详见第六章）</w:t>
            </w:r>
          </w:p>
          <w:p>
            <w:pPr>
              <w:tabs>
                <w:tab w:val="left" w:pos="8640"/>
              </w:tabs>
              <w:spacing w:line="360" w:lineRule="auto"/>
              <w:ind w:left="46" w:leftChars="22" w:right="281" w:rightChars="134" w:firstLine="48" w:firstLineChars="20"/>
              <w:rPr>
                <w:rFonts w:ascii="宋体" w:hAnsi="宋体"/>
                <w:sz w:val="24"/>
                <w:szCs w:val="24"/>
              </w:rPr>
            </w:pPr>
            <w:r>
              <w:rPr>
                <w:rFonts w:hint="eastAsia" w:ascii="宋体" w:hAnsi="宋体"/>
                <w:sz w:val="24"/>
              </w:rPr>
              <w:t>D、</w:t>
            </w:r>
            <w:r>
              <w:rPr>
                <w:rFonts w:hint="eastAsia" w:ascii="宋体" w:hAnsi="宋体"/>
                <w:sz w:val="24"/>
                <w:szCs w:val="24"/>
              </w:rPr>
              <w:t>供应商认为必要的其他资格证明文件复印件（须加盖供应商公章）。</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8.2</w:t>
            </w:r>
          </w:p>
        </w:tc>
        <w:tc>
          <w:tcPr>
            <w:tcW w:w="7527"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响应文件数量：</w:t>
            </w:r>
            <w:r>
              <w:rPr>
                <w:rFonts w:hint="eastAsia" w:ascii="宋体" w:hAnsi="宋体" w:cs="Arial"/>
                <w:b/>
                <w:sz w:val="24"/>
                <w:szCs w:val="24"/>
              </w:rPr>
              <w:t>正本1份，副本</w:t>
            </w:r>
            <w:r>
              <w:rPr>
                <w:rFonts w:ascii="宋体" w:hAnsi="宋体" w:cs="Arial"/>
                <w:b/>
                <w:sz w:val="24"/>
                <w:szCs w:val="24"/>
              </w:rPr>
              <w:t>3</w:t>
            </w:r>
            <w:r>
              <w:rPr>
                <w:rFonts w:hint="eastAsia" w:ascii="宋体" w:hAnsi="宋体" w:cs="Arial"/>
                <w:b/>
                <w:sz w:val="24"/>
                <w:szCs w:val="24"/>
              </w:rPr>
              <w:t>份，电子版</w:t>
            </w:r>
            <w:r>
              <w:rPr>
                <w:rFonts w:ascii="宋体" w:hAnsi="宋体" w:cs="Arial"/>
                <w:b/>
                <w:sz w:val="24"/>
                <w:szCs w:val="24"/>
              </w:rPr>
              <w:t>2</w:t>
            </w:r>
            <w:r>
              <w:rPr>
                <w:rFonts w:hint="eastAsia" w:ascii="宋体" w:hAnsi="宋体" w:cs="Arial"/>
                <w:b/>
                <w:sz w:val="24"/>
                <w:szCs w:val="24"/>
              </w:rPr>
              <w:t>份</w:t>
            </w:r>
          </w:p>
          <w:p>
            <w:pPr>
              <w:spacing w:line="360" w:lineRule="auto"/>
              <w:rPr>
                <w:rFonts w:ascii="宋体" w:hAnsi="宋体" w:cs="Arial"/>
                <w:sz w:val="24"/>
                <w:szCs w:val="24"/>
              </w:rPr>
            </w:pPr>
            <w:r>
              <w:rPr>
                <w:rFonts w:hint="eastAsia" w:ascii="宋体" w:hAnsi="宋体"/>
                <w:sz w:val="24"/>
                <w:szCs w:val="24"/>
              </w:rPr>
              <w:t>电子文件规定存储载体为U盘，每份u盘中需包含响应文件正本的可编辑word版本和签字盖章后的P</w:t>
            </w:r>
            <w:r>
              <w:rPr>
                <w:rFonts w:ascii="宋体" w:hAnsi="宋体"/>
                <w:sz w:val="24"/>
                <w:szCs w:val="24"/>
              </w:rPr>
              <w:t>DF</w:t>
            </w:r>
            <w:r>
              <w:rPr>
                <w:rFonts w:hint="eastAsia" w:ascii="宋体" w:hAnsi="宋体"/>
                <w:sz w:val="24"/>
                <w:szCs w:val="24"/>
              </w:rPr>
              <w:t>扫描件。供应商应保证电子版文件和纸质版响应文件一致。</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9</w:t>
            </w:r>
            <w:r>
              <w:rPr>
                <w:rFonts w:ascii="宋体" w:hAnsi="宋体"/>
                <w:sz w:val="24"/>
                <w:szCs w:val="24"/>
              </w:rPr>
              <w:t>.1</w:t>
            </w:r>
          </w:p>
        </w:tc>
        <w:tc>
          <w:tcPr>
            <w:tcW w:w="7527"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sz w:val="24"/>
                <w:szCs w:val="24"/>
              </w:rPr>
            </w:pPr>
            <w:r>
              <w:rPr>
                <w:rFonts w:hint="eastAsia" w:ascii="宋体" w:hAnsi="宋体"/>
                <w:sz w:val="24"/>
                <w:szCs w:val="24"/>
              </w:rPr>
              <w:t>本项目不允许递交备选方案。</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9.5</w:t>
            </w:r>
          </w:p>
        </w:tc>
        <w:tc>
          <w:tcPr>
            <w:tcW w:w="7527" w:type="dxa"/>
            <w:tcBorders>
              <w:top w:val="single" w:color="auto" w:sz="4" w:space="0"/>
              <w:left w:val="single" w:color="auto" w:sz="4" w:space="0"/>
              <w:bottom w:val="single" w:color="auto" w:sz="4" w:space="0"/>
              <w:right w:val="double" w:color="auto" w:sz="4" w:space="0"/>
            </w:tcBorders>
            <w:vAlign w:val="center"/>
          </w:tcPr>
          <w:p>
            <w:pPr>
              <w:pStyle w:val="61"/>
              <w:rPr>
                <w:rFonts w:ascii="宋体" w:hAnsi="宋体"/>
                <w:sz w:val="24"/>
                <w:szCs w:val="24"/>
              </w:rPr>
            </w:pPr>
            <w:r>
              <w:rPr>
                <w:rFonts w:hint="eastAsia" w:ascii="宋体" w:hAnsi="宋体"/>
                <w:sz w:val="24"/>
                <w:szCs w:val="24"/>
              </w:rPr>
              <w:t>未经采购人同意，中标/成交供应商不可以采取分包方式履行本项目合同。</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024"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11</w:t>
            </w:r>
            <w:r>
              <w:rPr>
                <w:rFonts w:ascii="宋体" w:hAnsi="宋体"/>
                <w:sz w:val="24"/>
                <w:szCs w:val="24"/>
              </w:rPr>
              <w:t>.1</w:t>
            </w:r>
          </w:p>
        </w:tc>
        <w:tc>
          <w:tcPr>
            <w:tcW w:w="7527"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b/>
                <w:sz w:val="24"/>
                <w:szCs w:val="24"/>
              </w:rPr>
            </w:pPr>
            <w:r>
              <w:rPr>
                <w:rFonts w:hint="eastAsia" w:ascii="宋体" w:hAnsi="宋体"/>
                <w:sz w:val="24"/>
                <w:szCs w:val="24"/>
              </w:rPr>
              <w:t>磋商保证金：柒仟元整。</w:t>
            </w:r>
          </w:p>
          <w:p>
            <w:pPr>
              <w:spacing w:line="360" w:lineRule="auto"/>
              <w:rPr>
                <w:rFonts w:ascii="宋体" w:hAnsi="宋体"/>
                <w:sz w:val="24"/>
                <w:szCs w:val="24"/>
              </w:rPr>
            </w:pPr>
            <w:r>
              <w:rPr>
                <w:rFonts w:hint="eastAsia" w:ascii="宋体" w:hAnsi="宋体"/>
                <w:sz w:val="24"/>
                <w:szCs w:val="24"/>
              </w:rPr>
              <w:t>保证金递交截止时间：同响应文件递交截止时间</w:t>
            </w:r>
          </w:p>
          <w:p>
            <w:pPr>
              <w:spacing w:line="360" w:lineRule="auto"/>
              <w:ind w:left="71" w:leftChars="34"/>
              <w:rPr>
                <w:rFonts w:ascii="宋体" w:hAnsi="宋体"/>
                <w:sz w:val="24"/>
              </w:rPr>
            </w:pPr>
            <w:r>
              <w:rPr>
                <w:rFonts w:hint="eastAsia" w:ascii="宋体" w:hAnsi="宋体"/>
                <w:sz w:val="24"/>
                <w:szCs w:val="24"/>
              </w:rPr>
              <w:t>磋商保证金形式：</w:t>
            </w:r>
            <w:r>
              <w:rPr>
                <w:rFonts w:ascii="宋体" w:hAnsi="宋体"/>
                <w:sz w:val="24"/>
              </w:rPr>
              <w:t>电汇</w:t>
            </w:r>
            <w:r>
              <w:rPr>
                <w:rFonts w:hint="eastAsia" w:ascii="宋体" w:hAnsi="宋体"/>
                <w:sz w:val="24"/>
              </w:rPr>
              <w:t>、网银转账、</w:t>
            </w:r>
            <w:r>
              <w:rPr>
                <w:rFonts w:ascii="宋体" w:hAnsi="宋体"/>
                <w:sz w:val="24"/>
              </w:rPr>
              <w:t>支票、保函等非现金形式</w:t>
            </w:r>
            <w:r>
              <w:rPr>
                <w:rFonts w:hint="eastAsia" w:ascii="宋体" w:hAnsi="宋体"/>
                <w:sz w:val="24"/>
              </w:rPr>
              <w:t>。</w:t>
            </w:r>
            <w:r>
              <w:rPr>
                <w:rFonts w:hint="eastAsia" w:ascii="宋体" w:hAnsi="宋体"/>
                <w:b/>
                <w:bCs/>
                <w:sz w:val="24"/>
              </w:rPr>
              <w:t>为减少收取</w:t>
            </w:r>
            <w:r>
              <w:rPr>
                <w:rFonts w:ascii="宋体" w:hAnsi="宋体"/>
                <w:b/>
                <w:bCs/>
                <w:sz w:val="24"/>
              </w:rPr>
              <w:t>/退还保证金的手续，建议采用电汇</w:t>
            </w:r>
            <w:r>
              <w:rPr>
                <w:rFonts w:hint="eastAsia" w:ascii="宋体" w:hAnsi="宋体"/>
                <w:b/>
                <w:bCs/>
                <w:sz w:val="24"/>
              </w:rPr>
              <w:t>或网银转账方式缴纳保证金。</w:t>
            </w:r>
          </w:p>
          <w:p>
            <w:pPr>
              <w:spacing w:line="360" w:lineRule="auto"/>
              <w:ind w:left="71" w:leftChars="34"/>
              <w:rPr>
                <w:rFonts w:ascii="宋体" w:hAnsi="宋体"/>
                <w:bCs/>
                <w:sz w:val="24"/>
              </w:rPr>
            </w:pPr>
            <w:r>
              <w:rPr>
                <w:rFonts w:hint="eastAsia" w:ascii="宋体" w:hAnsi="宋体"/>
                <w:bCs/>
                <w:sz w:val="24"/>
              </w:rPr>
              <w:t>账户名称：北京国际工程咨询有限公司</w:t>
            </w:r>
          </w:p>
          <w:p>
            <w:pPr>
              <w:spacing w:line="360" w:lineRule="auto"/>
              <w:ind w:left="71" w:leftChars="34"/>
              <w:rPr>
                <w:rFonts w:ascii="宋体" w:hAnsi="宋体"/>
                <w:sz w:val="24"/>
              </w:rPr>
            </w:pPr>
            <w:r>
              <w:rPr>
                <w:rFonts w:hint="eastAsia" w:ascii="宋体" w:hAnsi="宋体"/>
                <w:sz w:val="24"/>
              </w:rPr>
              <w:t>开户银行：华夏银行北京学院路支行</w:t>
            </w:r>
          </w:p>
          <w:p>
            <w:pPr>
              <w:spacing w:line="360" w:lineRule="auto"/>
              <w:ind w:left="71" w:leftChars="34"/>
              <w:rPr>
                <w:rFonts w:ascii="宋体" w:hAnsi="宋体"/>
                <w:sz w:val="24"/>
              </w:rPr>
            </w:pPr>
            <w:r>
              <w:rPr>
                <w:rFonts w:hint="eastAsia" w:ascii="宋体" w:hAnsi="宋体"/>
                <w:sz w:val="24"/>
              </w:rPr>
              <w:t>帐号：</w:t>
            </w:r>
            <w:r>
              <w:rPr>
                <w:rFonts w:ascii="宋体" w:hAnsi="宋体"/>
                <w:sz w:val="24"/>
              </w:rPr>
              <w:t>10242000000002546</w:t>
            </w:r>
          </w:p>
          <w:p>
            <w:pPr>
              <w:spacing w:line="360" w:lineRule="auto"/>
              <w:ind w:left="-1" w:leftChars="-1" w:hanging="1"/>
              <w:rPr>
                <w:rFonts w:ascii="宋体" w:hAnsi="宋体"/>
                <w:sz w:val="24"/>
                <w:szCs w:val="24"/>
              </w:rPr>
            </w:pPr>
            <w:r>
              <w:rPr>
                <w:rFonts w:hint="eastAsia" w:ascii="宋体" w:hAnsi="宋体"/>
                <w:b/>
                <w:bCs/>
                <w:sz w:val="24"/>
              </w:rPr>
              <w:t>注：请供应商汇款无论保证金还是标书款务必注明“标号+用途”（比如：23ZB0409或者23ZB0409标书款），以便财务查账及汇总。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1.6</w:t>
            </w:r>
          </w:p>
        </w:tc>
        <w:tc>
          <w:tcPr>
            <w:tcW w:w="7527"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sz w:val="24"/>
                <w:szCs w:val="24"/>
              </w:rPr>
            </w:pPr>
            <w:r>
              <w:rPr>
                <w:rFonts w:hint="eastAsia" w:ascii="宋体" w:hAnsi="宋体"/>
                <w:sz w:val="24"/>
                <w:szCs w:val="24"/>
              </w:rPr>
              <w:t>成交供应商的磋商保证金：在合同签订后2个工作日内，请将合同扫描件发送到bjgjgczb1</w:t>
            </w:r>
            <w:r>
              <w:rPr>
                <w:rFonts w:ascii="宋体" w:hAnsi="宋体"/>
                <w:sz w:val="24"/>
                <w:szCs w:val="24"/>
              </w:rPr>
              <w:t>@</w:t>
            </w:r>
            <w:r>
              <w:rPr>
                <w:rFonts w:hint="eastAsia" w:ascii="宋体" w:hAnsi="宋体"/>
                <w:sz w:val="24"/>
                <w:szCs w:val="24"/>
              </w:rPr>
              <w:t>163.com邮箱办理相关备案及保证金退还手续，保证金将在合同签订的5个工作日内退回来款账户。</w:t>
            </w:r>
          </w:p>
          <w:p>
            <w:pPr>
              <w:spacing w:line="360" w:lineRule="auto"/>
              <w:rPr>
                <w:rFonts w:ascii="宋体" w:hAnsi="宋体"/>
                <w:sz w:val="24"/>
                <w:szCs w:val="24"/>
              </w:rPr>
            </w:pPr>
            <w:r>
              <w:rPr>
                <w:rFonts w:hint="eastAsia" w:ascii="宋体" w:hAnsi="宋体"/>
                <w:sz w:val="24"/>
                <w:u w:val="single"/>
              </w:rPr>
              <w:t>邮件标题格式：</w:t>
            </w:r>
            <w:r>
              <w:rPr>
                <w:rFonts w:hint="eastAsia" w:ascii="宋体" w:hAnsi="宋体"/>
                <w:sz w:val="24"/>
              </w:rPr>
              <w:t>项目编号+退还保证金+供应商名称+已签订采购合同。内附：（1）采购合同扫描件；（</w:t>
            </w:r>
            <w:r>
              <w:rPr>
                <w:rFonts w:ascii="宋体" w:hAnsi="宋体"/>
                <w:sz w:val="24"/>
              </w:rPr>
              <w:t>2</w:t>
            </w:r>
            <w:r>
              <w:rPr>
                <w:rFonts w:hint="eastAsia" w:ascii="宋体" w:hAnsi="宋体"/>
                <w:sz w:val="24"/>
              </w:rPr>
              <w:t>）</w:t>
            </w:r>
            <w:r>
              <w:rPr>
                <w:rFonts w:ascii="宋体" w:hAnsi="宋体"/>
                <w:sz w:val="24"/>
              </w:rPr>
              <w:t>项目编号</w:t>
            </w: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中标供应商名称</w:t>
            </w: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采购合同签订日期</w:t>
            </w:r>
            <w:r>
              <w:rPr>
                <w:rFonts w:hint="eastAsia" w:ascii="宋体" w:hAnsi="宋体"/>
                <w:sz w:val="24"/>
              </w:rPr>
              <w:t>。</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12.1</w:t>
            </w:r>
          </w:p>
        </w:tc>
        <w:tc>
          <w:tcPr>
            <w:tcW w:w="7527"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sz w:val="24"/>
                <w:szCs w:val="24"/>
              </w:rPr>
            </w:pPr>
            <w:r>
              <w:rPr>
                <w:rFonts w:hint="eastAsia" w:ascii="宋体" w:hAnsi="宋体"/>
                <w:sz w:val="24"/>
                <w:szCs w:val="24"/>
              </w:rPr>
              <w:t>响应文件有效期:90日历日</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3.1</w:t>
            </w:r>
          </w:p>
        </w:tc>
        <w:tc>
          <w:tcPr>
            <w:tcW w:w="7527" w:type="dxa"/>
            <w:tcBorders>
              <w:top w:val="single" w:color="auto" w:sz="4" w:space="0"/>
              <w:left w:val="single" w:color="auto" w:sz="4" w:space="0"/>
              <w:bottom w:val="single" w:color="auto" w:sz="4" w:space="0"/>
              <w:right w:val="double" w:color="auto" w:sz="4" w:space="0"/>
            </w:tcBorders>
            <w:vAlign w:val="center"/>
          </w:tcPr>
          <w:p>
            <w:pPr>
              <w:widowControl/>
              <w:autoSpaceDE w:val="0"/>
              <w:autoSpaceDN w:val="0"/>
              <w:spacing w:line="360" w:lineRule="auto"/>
              <w:ind w:right="-20"/>
              <w:textAlignment w:val="bottom"/>
              <w:rPr>
                <w:rFonts w:ascii="宋体" w:hAnsi="宋体"/>
                <w:sz w:val="24"/>
                <w:szCs w:val="24"/>
              </w:rPr>
            </w:pPr>
            <w:r>
              <w:rPr>
                <w:rFonts w:hint="eastAsia" w:ascii="宋体" w:hAnsi="宋体"/>
                <w:sz w:val="24"/>
                <w:szCs w:val="24"/>
              </w:rPr>
              <w:t>响应文件递交截止时间：</w:t>
            </w:r>
            <w:r>
              <w:rPr>
                <w:rFonts w:hint="eastAsia" w:ascii="宋体" w:hAnsi="宋体"/>
                <w:kern w:val="0"/>
                <w:sz w:val="24"/>
              </w:rPr>
              <w:t>详见第一章竞争性磋商邀请</w:t>
            </w:r>
          </w:p>
          <w:p>
            <w:pPr>
              <w:spacing w:line="360" w:lineRule="auto"/>
              <w:rPr>
                <w:rFonts w:ascii="宋体" w:hAnsi="宋体"/>
                <w:sz w:val="24"/>
                <w:szCs w:val="24"/>
              </w:rPr>
            </w:pPr>
            <w:r>
              <w:rPr>
                <w:rFonts w:hint="eastAsia" w:ascii="宋体" w:hAnsi="宋体"/>
                <w:sz w:val="24"/>
                <w:szCs w:val="24"/>
              </w:rPr>
              <w:t>响应文件递交地点：</w:t>
            </w:r>
            <w:r>
              <w:rPr>
                <w:rFonts w:hint="eastAsia" w:ascii="宋体" w:hAnsi="宋体"/>
                <w:kern w:val="0"/>
                <w:sz w:val="24"/>
              </w:rPr>
              <w:t>详见第一章竞争性磋商邀请</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5</w:t>
            </w:r>
            <w:r>
              <w:rPr>
                <w:rFonts w:hint="eastAsia" w:ascii="宋体" w:hAnsi="宋体"/>
                <w:sz w:val="24"/>
                <w:szCs w:val="24"/>
              </w:rPr>
              <w:t>.1</w:t>
            </w:r>
          </w:p>
        </w:tc>
        <w:tc>
          <w:tcPr>
            <w:tcW w:w="7527" w:type="dxa"/>
            <w:tcBorders>
              <w:top w:val="single" w:color="auto" w:sz="4" w:space="0"/>
              <w:left w:val="single" w:color="auto" w:sz="4" w:space="0"/>
              <w:bottom w:val="single" w:color="auto" w:sz="4" w:space="0"/>
              <w:right w:val="double" w:color="auto" w:sz="4" w:space="0"/>
            </w:tcBorders>
            <w:vAlign w:val="center"/>
          </w:tcPr>
          <w:p>
            <w:pPr>
              <w:widowControl/>
              <w:autoSpaceDE w:val="0"/>
              <w:autoSpaceDN w:val="0"/>
              <w:spacing w:line="360" w:lineRule="auto"/>
              <w:ind w:right="-20"/>
              <w:textAlignment w:val="bottom"/>
              <w:rPr>
                <w:rFonts w:ascii="宋体" w:hAnsi="宋体"/>
                <w:sz w:val="24"/>
                <w:szCs w:val="24"/>
              </w:rPr>
            </w:pPr>
            <w:r>
              <w:rPr>
                <w:rFonts w:hint="eastAsia" w:ascii="宋体" w:hAnsi="宋体"/>
                <w:sz w:val="24"/>
                <w:szCs w:val="24"/>
              </w:rPr>
              <w:t>磋商时间：</w:t>
            </w:r>
            <w:r>
              <w:rPr>
                <w:rFonts w:hint="eastAsia" w:ascii="宋体" w:hAnsi="宋体"/>
                <w:kern w:val="0"/>
                <w:sz w:val="24"/>
              </w:rPr>
              <w:t>同</w:t>
            </w:r>
            <w:r>
              <w:rPr>
                <w:rFonts w:hint="eastAsia" w:ascii="宋体" w:hAnsi="宋体"/>
                <w:sz w:val="24"/>
                <w:szCs w:val="24"/>
              </w:rPr>
              <w:t>响应文件递交截止时间</w:t>
            </w:r>
          </w:p>
          <w:p>
            <w:pPr>
              <w:spacing w:line="360" w:lineRule="auto"/>
              <w:rPr>
                <w:rFonts w:ascii="宋体" w:hAnsi="宋体" w:cs="宋体"/>
                <w:sz w:val="24"/>
              </w:rPr>
            </w:pPr>
            <w:r>
              <w:rPr>
                <w:rFonts w:hint="eastAsia" w:ascii="宋体" w:hAnsi="宋体"/>
                <w:sz w:val="24"/>
                <w:szCs w:val="24"/>
              </w:rPr>
              <w:t>磋商地点：</w:t>
            </w:r>
            <w:r>
              <w:rPr>
                <w:rFonts w:hint="eastAsia" w:ascii="宋体" w:hAnsi="宋体"/>
                <w:sz w:val="24"/>
              </w:rPr>
              <w:t>同</w:t>
            </w:r>
            <w:r>
              <w:rPr>
                <w:rFonts w:hint="eastAsia" w:ascii="宋体" w:hAnsi="宋体"/>
                <w:sz w:val="24"/>
                <w:szCs w:val="24"/>
              </w:rPr>
              <w:t>响应文件递交地点</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5.2</w:t>
            </w:r>
          </w:p>
        </w:tc>
        <w:tc>
          <w:tcPr>
            <w:tcW w:w="7527" w:type="dxa"/>
            <w:tcBorders>
              <w:top w:val="single" w:color="auto" w:sz="4" w:space="0"/>
              <w:left w:val="single" w:color="auto" w:sz="4" w:space="0"/>
              <w:bottom w:val="single" w:color="auto" w:sz="4" w:space="0"/>
              <w:right w:val="double" w:color="auto" w:sz="4" w:space="0"/>
            </w:tcBorders>
            <w:vAlign w:val="center"/>
          </w:tcPr>
          <w:p>
            <w:pPr>
              <w:widowControl/>
              <w:tabs>
                <w:tab w:val="left" w:pos="2202"/>
              </w:tabs>
              <w:autoSpaceDE w:val="0"/>
              <w:autoSpaceDN w:val="0"/>
              <w:spacing w:line="360" w:lineRule="auto"/>
              <w:ind w:right="-20"/>
              <w:textAlignment w:val="bottom"/>
              <w:rPr>
                <w:rFonts w:ascii="宋体" w:hAnsi="宋体"/>
                <w:sz w:val="24"/>
                <w:szCs w:val="24"/>
              </w:rPr>
            </w:pPr>
            <w:r>
              <w:rPr>
                <w:rFonts w:hint="eastAsia" w:ascii="宋体" w:hAnsi="宋体"/>
                <w:sz w:val="24"/>
                <w:szCs w:val="24"/>
              </w:rPr>
              <w:t>磋商次序：按递交响应文件次序，供应商在收到磋商小组电话或传真等磋商通知后，应在指定的时间内到达磋商地点。</w:t>
            </w:r>
          </w:p>
          <w:p>
            <w:pPr>
              <w:widowControl/>
              <w:autoSpaceDE w:val="0"/>
              <w:autoSpaceDN w:val="0"/>
              <w:spacing w:line="360" w:lineRule="auto"/>
              <w:ind w:right="-20"/>
              <w:textAlignment w:val="bottom"/>
              <w:rPr>
                <w:rFonts w:ascii="宋体" w:hAnsi="宋体"/>
                <w:sz w:val="24"/>
                <w:szCs w:val="24"/>
              </w:rPr>
            </w:pPr>
            <w:r>
              <w:rPr>
                <w:rFonts w:hint="eastAsia" w:ascii="宋体" w:hAnsi="宋体"/>
                <w:sz w:val="24"/>
                <w:szCs w:val="24"/>
              </w:rPr>
              <w:t>磋商内容：磋商小组针对供应商响应文件的商务、技术等内容进行磋商。</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54"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ascii="宋体" w:hAnsi="宋体"/>
                <w:sz w:val="24"/>
                <w:szCs w:val="24"/>
              </w:rPr>
              <w:t>23.1</w:t>
            </w:r>
          </w:p>
        </w:tc>
        <w:tc>
          <w:tcPr>
            <w:tcW w:w="7527"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sz w:val="24"/>
                <w:szCs w:val="24"/>
              </w:rPr>
            </w:pPr>
            <w:r>
              <w:rPr>
                <w:rFonts w:hint="eastAsia" w:ascii="宋体" w:hAnsi="宋体" w:cs="宋体"/>
                <w:sz w:val="24"/>
                <w:szCs w:val="24"/>
              </w:rPr>
              <w:t>成交供应商须向采购代理机构按如下标准和规定交纳服务费。</w:t>
            </w:r>
          </w:p>
          <w:p>
            <w:pPr>
              <w:spacing w:line="360" w:lineRule="auto"/>
              <w:rPr>
                <w:rFonts w:ascii="宋体" w:hAns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）以买卖双方签定的合同总额作为收费的计算基数。</w:t>
            </w:r>
          </w:p>
          <w:p>
            <w:pPr>
              <w:widowControl/>
              <w:spacing w:line="360" w:lineRule="auto"/>
              <w:rPr>
                <w:rFonts w:ascii="宋体" w:hAnsi="宋体"/>
                <w:kern w:val="0"/>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）采购代理机构参照原计价格</w:t>
            </w:r>
            <w:r>
              <w:rPr>
                <w:rFonts w:ascii="宋体" w:hAnsi="宋体" w:cs="宋体"/>
                <w:sz w:val="24"/>
                <w:szCs w:val="24"/>
              </w:rPr>
              <w:t>[2002]1980</w:t>
            </w:r>
            <w:r>
              <w:rPr>
                <w:rFonts w:hint="eastAsia" w:ascii="宋体" w:hAnsi="宋体" w:cs="宋体"/>
                <w:sz w:val="24"/>
                <w:szCs w:val="24"/>
              </w:rPr>
              <w:t>号文、</w:t>
            </w:r>
            <w:r>
              <w:rPr>
                <w:rFonts w:hint="eastAsia" w:ascii="宋体" w:hAnsi="宋体" w:cs="宋体"/>
                <w:kern w:val="0"/>
                <w:sz w:val="24"/>
                <w:szCs w:val="24"/>
              </w:rPr>
              <w:t>发改办价格</w:t>
            </w:r>
            <w:r>
              <w:rPr>
                <w:rFonts w:ascii="宋体" w:hAnsi="宋体" w:cs="宋体"/>
                <w:kern w:val="0"/>
                <w:sz w:val="24"/>
                <w:szCs w:val="24"/>
              </w:rPr>
              <w:t>[2003]857</w:t>
            </w:r>
            <w:r>
              <w:rPr>
                <w:rFonts w:hint="eastAsia" w:ascii="宋体" w:hAnsi="宋体" w:cs="宋体"/>
                <w:kern w:val="0"/>
                <w:sz w:val="24"/>
                <w:szCs w:val="24"/>
              </w:rPr>
              <w:t>号文及发改办价格</w:t>
            </w:r>
            <w:r>
              <w:rPr>
                <w:rFonts w:ascii="宋体" w:hAnsi="宋体" w:cs="宋体"/>
                <w:sz w:val="24"/>
                <w:szCs w:val="24"/>
              </w:rPr>
              <w:t>[2011]534</w:t>
            </w:r>
            <w:r>
              <w:rPr>
                <w:rFonts w:hint="eastAsia" w:ascii="宋体" w:hAnsi="宋体" w:cs="宋体"/>
                <w:kern w:val="0"/>
                <w:sz w:val="24"/>
                <w:szCs w:val="24"/>
              </w:rPr>
              <w:t>号文有关规定向成交供应商收取服务费用。</w:t>
            </w:r>
          </w:p>
          <w:p>
            <w:pPr>
              <w:spacing w:line="360" w:lineRule="auto"/>
              <w:rPr>
                <w:rFonts w:ascii="宋体" w:hAns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）服务费币种与成交签订合同的币种相同或代理机构同意的币种。</w:t>
            </w:r>
          </w:p>
          <w:p>
            <w:pPr>
              <w:spacing w:line="360" w:lineRule="auto"/>
              <w:rPr>
                <w:rFonts w:ascii="宋体" w:hAns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）成交服务费的交纳方式：</w:t>
            </w:r>
          </w:p>
          <w:p>
            <w:pPr>
              <w:spacing w:line="360" w:lineRule="auto"/>
              <w:ind w:firstLine="480"/>
              <w:rPr>
                <w:rFonts w:ascii="宋体" w:hAnsi="宋体"/>
                <w:sz w:val="24"/>
                <w:szCs w:val="24"/>
              </w:rPr>
            </w:pPr>
            <w:r>
              <w:rPr>
                <w:rFonts w:hint="eastAsia" w:ascii="宋体" w:hAnsi="宋体" w:cs="宋体"/>
                <w:sz w:val="24"/>
                <w:szCs w:val="24"/>
              </w:rPr>
              <w:t>在投标时，供应商向采购代理机构送交成交服务费承诺书。成交供应商在领取成交通知书时一次向采购代理机构交纳所有成交服务费。</w:t>
            </w:r>
          </w:p>
          <w:p>
            <w:pPr>
              <w:spacing w:line="360" w:lineRule="auto"/>
              <w:rPr>
                <w:rFonts w:ascii="宋体" w:hAnsi="宋体"/>
                <w:b/>
                <w:bCs/>
                <w:sz w:val="24"/>
                <w:szCs w:val="24"/>
              </w:rPr>
            </w:pPr>
            <w:r>
              <w:rPr>
                <w:rFonts w:hint="eastAsia" w:ascii="宋体" w:hAnsi="宋体" w:cs="宋体"/>
                <w:b/>
                <w:bCs/>
                <w:sz w:val="24"/>
                <w:szCs w:val="24"/>
              </w:rPr>
              <w:t>账户名称：</w:t>
            </w:r>
            <w:r>
              <w:rPr>
                <w:rFonts w:ascii="宋体" w:hAnsi="宋体" w:cs="宋体"/>
                <w:b/>
                <w:bCs/>
                <w:sz w:val="24"/>
                <w:szCs w:val="24"/>
              </w:rPr>
              <w:t xml:space="preserve"> </w:t>
            </w:r>
            <w:r>
              <w:rPr>
                <w:rFonts w:hint="eastAsia" w:ascii="宋体" w:hAnsi="宋体" w:cs="宋体"/>
                <w:b/>
                <w:bCs/>
                <w:sz w:val="24"/>
                <w:szCs w:val="24"/>
              </w:rPr>
              <w:t>北京国际工程咨询有限公司</w:t>
            </w:r>
          </w:p>
          <w:p>
            <w:pPr>
              <w:spacing w:line="360" w:lineRule="auto"/>
              <w:rPr>
                <w:rFonts w:ascii="宋体" w:hAnsi="宋体"/>
                <w:sz w:val="24"/>
                <w:szCs w:val="24"/>
              </w:rPr>
            </w:pPr>
            <w:r>
              <w:rPr>
                <w:rFonts w:hint="eastAsia" w:ascii="宋体" w:hAnsi="宋体" w:cs="宋体"/>
                <w:sz w:val="24"/>
                <w:szCs w:val="24"/>
              </w:rPr>
              <w:t>开户银行：华夏银行北京学院路支行</w:t>
            </w:r>
            <w:r>
              <w:rPr>
                <w:rFonts w:ascii="宋体" w:hAnsi="宋体" w:cs="宋体"/>
                <w:sz w:val="24"/>
                <w:szCs w:val="24"/>
              </w:rPr>
              <w:t xml:space="preserve"> </w:t>
            </w:r>
          </w:p>
          <w:p>
            <w:pPr>
              <w:widowControl/>
              <w:spacing w:line="360" w:lineRule="auto"/>
              <w:rPr>
                <w:rFonts w:ascii="宋体" w:hAnsi="宋体" w:cs="宋体"/>
                <w:kern w:val="0"/>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 xml:space="preserve">  号：</w:t>
            </w:r>
            <w:r>
              <w:rPr>
                <w:rFonts w:ascii="宋体" w:hAnsi="宋体" w:cs="宋体"/>
                <w:sz w:val="24"/>
                <w:szCs w:val="24"/>
              </w:rPr>
              <w:t>10242000000002546</w:t>
            </w:r>
          </w:p>
        </w:tc>
      </w:tr>
    </w:tbl>
    <w:p>
      <w:pPr>
        <w:spacing w:line="360" w:lineRule="auto"/>
        <w:rPr>
          <w:rFonts w:ascii="宋体" w:hAnsi="宋体"/>
          <w:b/>
          <w:sz w:val="24"/>
          <w:szCs w:val="24"/>
        </w:rPr>
      </w:pPr>
    </w:p>
    <w:p>
      <w:pPr>
        <w:pStyle w:val="2"/>
        <w:numPr>
          <w:ilvl w:val="0"/>
          <w:numId w:val="0"/>
        </w:numPr>
        <w:spacing w:line="360" w:lineRule="auto"/>
        <w:rPr>
          <w:rFonts w:ascii="宋体" w:hAnsi="宋体"/>
          <w:sz w:val="28"/>
          <w:szCs w:val="28"/>
        </w:rPr>
      </w:pPr>
      <w:r>
        <w:rPr>
          <w:rFonts w:ascii="宋体" w:hAnsi="宋体"/>
          <w:sz w:val="24"/>
          <w:szCs w:val="24"/>
        </w:rPr>
        <w:br w:type="page"/>
      </w:r>
      <w:bookmarkStart w:id="52" w:name="_Toc146043862"/>
      <w:r>
        <w:rPr>
          <w:rFonts w:hint="eastAsia" w:ascii="宋体" w:hAnsi="宋体"/>
          <w:sz w:val="28"/>
          <w:szCs w:val="28"/>
        </w:rPr>
        <w:t>第三章  供应商须知</w:t>
      </w:r>
      <w:bookmarkEnd w:id="52"/>
    </w:p>
    <w:p>
      <w:pPr>
        <w:pStyle w:val="3"/>
      </w:pPr>
      <w:bookmarkStart w:id="53" w:name="_Toc146043863"/>
      <w:r>
        <w:rPr>
          <w:rFonts w:hint="eastAsia"/>
        </w:rPr>
        <w:t>一、说明</w:t>
      </w:r>
      <w:bookmarkEnd w:id="53"/>
    </w:p>
    <w:p>
      <w:pPr>
        <w:pStyle w:val="4"/>
        <w:rPr>
          <w:rFonts w:ascii="宋体" w:hAnsi="宋体"/>
        </w:rPr>
      </w:pPr>
      <w:bookmarkStart w:id="54" w:name="_Toc146043864"/>
      <w:r>
        <w:rPr>
          <w:rFonts w:hint="eastAsia" w:ascii="宋体" w:hAnsi="宋体"/>
        </w:rPr>
        <w:t>1. 采购人、采购代理机构及资金来源</w:t>
      </w:r>
      <w:bookmarkEnd w:id="54"/>
    </w:p>
    <w:p>
      <w:pPr>
        <w:tabs>
          <w:tab w:val="left" w:pos="8640"/>
        </w:tabs>
        <w:spacing w:line="360" w:lineRule="auto"/>
        <w:ind w:left="720" w:right="281" w:rightChars="134" w:hanging="720" w:hangingChars="300"/>
        <w:rPr>
          <w:rFonts w:ascii="宋体" w:hAnsi="宋体"/>
          <w:sz w:val="24"/>
          <w:szCs w:val="24"/>
        </w:rPr>
      </w:pPr>
      <w:r>
        <w:rPr>
          <w:rFonts w:hint="eastAsia" w:ascii="宋体" w:hAnsi="宋体"/>
          <w:sz w:val="24"/>
          <w:szCs w:val="24"/>
        </w:rPr>
        <w:t>1.1  采购人：指依法进行本次政府采购活动中的国家机关、事业单位、团体组织。</w:t>
      </w:r>
    </w:p>
    <w:p>
      <w:pPr>
        <w:tabs>
          <w:tab w:val="left" w:pos="8640"/>
        </w:tabs>
        <w:spacing w:line="360" w:lineRule="auto"/>
        <w:ind w:left="684" w:right="281" w:rightChars="134" w:hanging="684" w:hangingChars="285"/>
        <w:rPr>
          <w:rFonts w:ascii="宋体" w:hAnsi="宋体"/>
          <w:sz w:val="24"/>
          <w:szCs w:val="24"/>
        </w:rPr>
      </w:pPr>
      <w:r>
        <w:rPr>
          <w:rFonts w:hint="eastAsia" w:ascii="宋体" w:hAnsi="宋体"/>
          <w:sz w:val="24"/>
          <w:szCs w:val="24"/>
        </w:rPr>
        <w:t>1.2  采购代理机构：受采购人委托，组织本次采购活动的采购代理机构。</w:t>
      </w:r>
    </w:p>
    <w:p>
      <w:pPr>
        <w:tabs>
          <w:tab w:val="left" w:pos="8640"/>
        </w:tabs>
        <w:spacing w:line="360" w:lineRule="auto"/>
        <w:ind w:left="720" w:right="281" w:rightChars="134" w:hanging="720" w:hangingChars="300"/>
        <w:rPr>
          <w:rFonts w:ascii="宋体" w:hAnsi="宋体"/>
          <w:sz w:val="24"/>
          <w:szCs w:val="24"/>
        </w:rPr>
      </w:pPr>
      <w:r>
        <w:rPr>
          <w:rFonts w:hint="eastAsia" w:ascii="宋体" w:hAnsi="宋体"/>
          <w:sz w:val="24"/>
          <w:szCs w:val="24"/>
        </w:rPr>
        <w:t>1.3  本次项目采购资金来源为财政性资金。</w:t>
      </w:r>
    </w:p>
    <w:p>
      <w:pPr>
        <w:pStyle w:val="4"/>
        <w:rPr>
          <w:rFonts w:ascii="宋体" w:hAnsi="宋体"/>
        </w:rPr>
      </w:pPr>
      <w:bookmarkStart w:id="55" w:name="_Toc146043865"/>
      <w:r>
        <w:rPr>
          <w:rFonts w:hint="eastAsia" w:ascii="宋体" w:hAnsi="宋体"/>
        </w:rPr>
        <w:t>2. 合格的供应商</w:t>
      </w:r>
      <w:bookmarkEnd w:id="55"/>
    </w:p>
    <w:p>
      <w:pPr>
        <w:tabs>
          <w:tab w:val="left" w:pos="8640"/>
        </w:tabs>
        <w:spacing w:line="360" w:lineRule="auto"/>
        <w:ind w:left="1" w:right="281" w:rightChars="134" w:firstLine="280" w:firstLineChars="117"/>
        <w:rPr>
          <w:rFonts w:ascii="宋体" w:hAnsi="宋体"/>
          <w:sz w:val="24"/>
          <w:szCs w:val="24"/>
        </w:rPr>
      </w:pPr>
      <w:r>
        <w:rPr>
          <w:rFonts w:hint="eastAsia" w:ascii="宋体" w:hAnsi="宋体"/>
          <w:sz w:val="24"/>
          <w:szCs w:val="24"/>
        </w:rPr>
        <w:t>“合格的供应商”系指收到磋商邀请、购买了《竞争性磋商文件》并向采购人递交《响应文件》的供应商。</w:t>
      </w:r>
    </w:p>
    <w:p>
      <w:pPr>
        <w:autoSpaceDE w:val="0"/>
        <w:autoSpaceDN w:val="0"/>
        <w:spacing w:line="360" w:lineRule="auto"/>
        <w:ind w:right="-187"/>
        <w:textAlignment w:val="bottom"/>
        <w:rPr>
          <w:rFonts w:ascii="宋体" w:hAnsi="宋体"/>
          <w:sz w:val="24"/>
          <w:szCs w:val="24"/>
        </w:rPr>
      </w:pPr>
      <w:r>
        <w:rPr>
          <w:rFonts w:hint="eastAsia" w:ascii="宋体" w:hAnsi="宋体"/>
          <w:sz w:val="24"/>
          <w:szCs w:val="24"/>
        </w:rPr>
        <w:t>2.1 供应商资格要求：</w:t>
      </w:r>
    </w:p>
    <w:p>
      <w:pPr>
        <w:autoSpaceDE w:val="0"/>
        <w:autoSpaceDN w:val="0"/>
        <w:spacing w:line="360" w:lineRule="auto"/>
        <w:ind w:right="-187" w:firstLine="360" w:firstLineChars="150"/>
        <w:textAlignment w:val="bottom"/>
        <w:rPr>
          <w:rFonts w:ascii="宋体" w:hAnsi="宋体"/>
          <w:sz w:val="24"/>
          <w:szCs w:val="24"/>
        </w:rPr>
      </w:pPr>
      <w:r>
        <w:rPr>
          <w:rFonts w:hint="eastAsia" w:ascii="宋体" w:hAnsi="宋体"/>
          <w:sz w:val="24"/>
          <w:szCs w:val="24"/>
        </w:rPr>
        <w:t>（1）具有独立承担民事责任的能力；</w:t>
      </w:r>
    </w:p>
    <w:p>
      <w:pPr>
        <w:autoSpaceDE w:val="0"/>
        <w:autoSpaceDN w:val="0"/>
        <w:spacing w:line="360" w:lineRule="auto"/>
        <w:ind w:right="-187" w:firstLine="360" w:firstLineChars="150"/>
        <w:textAlignment w:val="bottom"/>
        <w:rPr>
          <w:rFonts w:ascii="宋体" w:hAnsi="宋体"/>
          <w:sz w:val="24"/>
          <w:szCs w:val="24"/>
        </w:rPr>
      </w:pPr>
      <w:r>
        <w:rPr>
          <w:rFonts w:hint="eastAsia" w:ascii="宋体" w:hAnsi="宋体"/>
          <w:sz w:val="24"/>
          <w:szCs w:val="24"/>
        </w:rPr>
        <w:t>（2）具有良好的商业信誉和健全的财务会计制度；</w:t>
      </w:r>
    </w:p>
    <w:p>
      <w:pPr>
        <w:autoSpaceDE w:val="0"/>
        <w:autoSpaceDN w:val="0"/>
        <w:spacing w:line="360" w:lineRule="auto"/>
        <w:ind w:right="-187" w:firstLine="360" w:firstLineChars="150"/>
        <w:textAlignment w:val="bottom"/>
        <w:rPr>
          <w:rFonts w:ascii="宋体" w:hAnsi="宋体"/>
          <w:sz w:val="24"/>
          <w:szCs w:val="24"/>
        </w:rPr>
      </w:pPr>
      <w:r>
        <w:rPr>
          <w:rFonts w:hint="eastAsia" w:ascii="宋体" w:hAnsi="宋体"/>
          <w:sz w:val="24"/>
          <w:szCs w:val="24"/>
        </w:rPr>
        <w:t>（3）具有履行合同所必需的设备和专业技术能力；</w:t>
      </w:r>
    </w:p>
    <w:p>
      <w:pPr>
        <w:autoSpaceDE w:val="0"/>
        <w:autoSpaceDN w:val="0"/>
        <w:spacing w:line="360" w:lineRule="auto"/>
        <w:ind w:right="-187" w:firstLine="360" w:firstLineChars="150"/>
        <w:textAlignment w:val="bottom"/>
        <w:rPr>
          <w:rFonts w:ascii="宋体" w:hAnsi="宋体"/>
          <w:sz w:val="24"/>
          <w:szCs w:val="24"/>
        </w:rPr>
      </w:pPr>
      <w:r>
        <w:rPr>
          <w:rFonts w:hint="eastAsia" w:ascii="宋体" w:hAnsi="宋体"/>
          <w:sz w:val="24"/>
          <w:szCs w:val="24"/>
        </w:rPr>
        <w:t>（4）有依法缴纳税收和社会保障资金的良好记录；</w:t>
      </w:r>
    </w:p>
    <w:p>
      <w:pPr>
        <w:autoSpaceDE w:val="0"/>
        <w:autoSpaceDN w:val="0"/>
        <w:spacing w:line="360" w:lineRule="auto"/>
        <w:ind w:right="-187" w:firstLine="360" w:firstLineChars="150"/>
        <w:textAlignment w:val="bottom"/>
        <w:rPr>
          <w:rFonts w:ascii="宋体" w:hAnsi="宋体"/>
          <w:sz w:val="24"/>
          <w:szCs w:val="24"/>
        </w:rPr>
      </w:pPr>
      <w:r>
        <w:rPr>
          <w:rFonts w:hint="eastAsia" w:ascii="宋体" w:hAnsi="宋体"/>
          <w:sz w:val="24"/>
          <w:szCs w:val="24"/>
        </w:rPr>
        <w:t>（5）参加政府采购活动前三年内，在经营活动中没有重大违法记录；</w:t>
      </w:r>
    </w:p>
    <w:p>
      <w:pPr>
        <w:autoSpaceDE w:val="0"/>
        <w:autoSpaceDN w:val="0"/>
        <w:spacing w:line="360" w:lineRule="auto"/>
        <w:ind w:right="-187" w:firstLine="360" w:firstLineChars="150"/>
        <w:textAlignment w:val="bottom"/>
        <w:rPr>
          <w:rFonts w:ascii="宋体" w:hAnsi="宋体"/>
          <w:sz w:val="24"/>
          <w:szCs w:val="24"/>
        </w:rPr>
      </w:pPr>
      <w:r>
        <w:rPr>
          <w:rFonts w:hint="eastAsia" w:ascii="宋体" w:hAnsi="宋体"/>
          <w:sz w:val="24"/>
          <w:szCs w:val="24"/>
        </w:rPr>
        <w:t>（6）</w:t>
      </w:r>
      <w:r>
        <w:rPr>
          <w:rFonts w:hint="eastAsia" w:ascii="宋体" w:hAnsi="宋体"/>
          <w:sz w:val="24"/>
        </w:rPr>
        <w:t>供应商必须为未被列入信用中国网站(</w:t>
      </w:r>
      <w:r>
        <w:fldChar w:fldCharType="begin"/>
      </w:r>
      <w:r>
        <w:instrText xml:space="preserve"> HYPERLINK "http://www.creditchina.gov.cn)、中国政府采购网" </w:instrText>
      </w:r>
      <w:r>
        <w:fldChar w:fldCharType="separate"/>
      </w:r>
      <w:r>
        <w:rPr>
          <w:rStyle w:val="57"/>
          <w:rFonts w:hint="eastAsia" w:ascii="宋体" w:hAnsi="宋体"/>
          <w:color w:val="auto"/>
          <w:sz w:val="24"/>
        </w:rPr>
        <w:t>www.creditchina.gov.cn)、中国政府采购网</w:t>
      </w:r>
      <w:r>
        <w:rPr>
          <w:rStyle w:val="57"/>
          <w:rFonts w:hint="eastAsia" w:ascii="宋体" w:hAnsi="宋体"/>
          <w:color w:val="auto"/>
          <w:sz w:val="24"/>
        </w:rPr>
        <w:fldChar w:fldCharType="end"/>
      </w:r>
      <w:r>
        <w:rPr>
          <w:rFonts w:ascii="宋体" w:hAnsi="宋体"/>
          <w:sz w:val="24"/>
        </w:rPr>
        <w:t xml:space="preserve"> </w:t>
      </w:r>
      <w:r>
        <w:rPr>
          <w:rFonts w:hint="eastAsia" w:ascii="宋体" w:hAnsi="宋体"/>
          <w:sz w:val="24"/>
        </w:rPr>
        <w:t>(www.ccgp.gov.cn)渠道信用记录失信被执行人、重大税收违法案件当事人名单、政府采购严重违法失信行为记录名单的响应人</w:t>
      </w:r>
      <w:r>
        <w:rPr>
          <w:rFonts w:hint="eastAsia" w:ascii="宋体" w:hAnsi="宋体"/>
          <w:sz w:val="24"/>
          <w:szCs w:val="24"/>
        </w:rPr>
        <w:t>；</w:t>
      </w:r>
    </w:p>
    <w:p>
      <w:pPr>
        <w:autoSpaceDE w:val="0"/>
        <w:autoSpaceDN w:val="0"/>
        <w:spacing w:line="360" w:lineRule="auto"/>
        <w:ind w:right="-187" w:firstLine="360" w:firstLineChars="150"/>
        <w:textAlignment w:val="bottom"/>
        <w:rPr>
          <w:rFonts w:ascii="宋体" w:hAnsi="宋体"/>
          <w:sz w:val="24"/>
          <w:szCs w:val="24"/>
        </w:rPr>
      </w:pPr>
      <w:r>
        <w:rPr>
          <w:rFonts w:hint="eastAsia" w:ascii="宋体" w:hAnsi="宋体"/>
          <w:sz w:val="24"/>
          <w:szCs w:val="24"/>
        </w:rPr>
        <w:t>（7）法律、行政法规规定的其他条件。</w:t>
      </w:r>
    </w:p>
    <w:p>
      <w:pPr>
        <w:spacing w:line="360" w:lineRule="auto"/>
        <w:ind w:left="360" w:hanging="360" w:hangingChars="150"/>
        <w:rPr>
          <w:rFonts w:ascii="宋体" w:hAnsi="宋体"/>
          <w:sz w:val="24"/>
          <w:szCs w:val="24"/>
        </w:rPr>
      </w:pPr>
      <w:r>
        <w:rPr>
          <w:rFonts w:hint="eastAsia" w:ascii="宋体" w:hAnsi="宋体"/>
          <w:sz w:val="24"/>
          <w:szCs w:val="24"/>
        </w:rPr>
        <w:t>2.2若供应商须知资料表中写明</w:t>
      </w:r>
      <w:r>
        <w:rPr>
          <w:rFonts w:ascii="宋体" w:hAnsi="宋体"/>
          <w:sz w:val="24"/>
          <w:szCs w:val="24"/>
        </w:rPr>
        <w:t>专门面向中小企业采购</w:t>
      </w:r>
      <w:r>
        <w:rPr>
          <w:rFonts w:hint="eastAsia" w:ascii="宋体" w:hAnsi="宋体"/>
          <w:sz w:val="24"/>
          <w:szCs w:val="24"/>
        </w:rPr>
        <w:t>的，如供应商所提供产品为非中小企业产品，其响应文件将作为无效响应被拒绝。</w:t>
      </w:r>
    </w:p>
    <w:p>
      <w:pPr>
        <w:spacing w:line="360" w:lineRule="auto"/>
        <w:ind w:left="360" w:hanging="360" w:hangingChars="150"/>
        <w:rPr>
          <w:rFonts w:ascii="宋体" w:hAnsi="宋体"/>
          <w:sz w:val="24"/>
          <w:szCs w:val="24"/>
        </w:rPr>
      </w:pPr>
      <w:r>
        <w:rPr>
          <w:rFonts w:hint="eastAsia" w:ascii="宋体" w:hAnsi="宋体"/>
          <w:sz w:val="24"/>
          <w:szCs w:val="24"/>
        </w:rPr>
        <w:t>2.3如供应商须知资料表中写明允许采购进口产品，供应商应保证所报产品已在中国关境内并已履行合法报通关手续。若供应商须知资料表中未写明允许采购进口产品，供应商以进口产品参与报价的，其报价将被拒绝。</w:t>
      </w:r>
    </w:p>
    <w:p>
      <w:pPr>
        <w:spacing w:line="360" w:lineRule="auto"/>
        <w:rPr>
          <w:rFonts w:ascii="宋体" w:hAnsi="宋体"/>
          <w:sz w:val="24"/>
          <w:szCs w:val="24"/>
        </w:rPr>
      </w:pPr>
      <w:r>
        <w:rPr>
          <w:rFonts w:hint="eastAsia" w:ascii="宋体" w:hAnsi="宋体"/>
          <w:sz w:val="24"/>
          <w:szCs w:val="24"/>
        </w:rPr>
        <w:t>2.4如供应商须知资料表中允许联合体报价，对联合体规定如下：</w:t>
      </w:r>
    </w:p>
    <w:p>
      <w:pPr>
        <w:spacing w:line="360" w:lineRule="auto"/>
        <w:ind w:left="1199" w:leftChars="228" w:hanging="720" w:hangingChars="300"/>
        <w:rPr>
          <w:rFonts w:ascii="宋体" w:hAnsi="宋体"/>
          <w:sz w:val="24"/>
          <w:szCs w:val="24"/>
        </w:rPr>
      </w:pPr>
      <w:r>
        <w:rPr>
          <w:rFonts w:hint="eastAsia" w:ascii="宋体" w:hAnsi="宋体"/>
          <w:sz w:val="24"/>
          <w:szCs w:val="24"/>
        </w:rPr>
        <w:t>2.4.1 两个以上供应商可以组成一个报价联合体，以一个供应商的身份报价。（如适用）</w:t>
      </w:r>
    </w:p>
    <w:p>
      <w:pPr>
        <w:spacing w:line="360" w:lineRule="auto"/>
        <w:ind w:left="1199" w:leftChars="228" w:hanging="720" w:hangingChars="300"/>
        <w:rPr>
          <w:rFonts w:ascii="宋体" w:hAnsi="宋体"/>
          <w:sz w:val="24"/>
          <w:szCs w:val="24"/>
        </w:rPr>
      </w:pPr>
      <w:r>
        <w:rPr>
          <w:rFonts w:hint="eastAsia" w:ascii="宋体" w:hAnsi="宋体"/>
          <w:sz w:val="24"/>
          <w:szCs w:val="24"/>
        </w:rPr>
        <w:t>2.4.2 联合体各方均应符合《中华人民共和国政府采购法》第二十二条规定的条件。（如适用）</w:t>
      </w:r>
    </w:p>
    <w:p>
      <w:pPr>
        <w:spacing w:line="360" w:lineRule="auto"/>
        <w:ind w:left="1199" w:leftChars="228" w:hanging="720" w:hangingChars="300"/>
        <w:rPr>
          <w:rFonts w:ascii="宋体" w:hAnsi="宋体"/>
          <w:sz w:val="24"/>
          <w:szCs w:val="24"/>
        </w:rPr>
      </w:pPr>
      <w:r>
        <w:rPr>
          <w:rFonts w:hint="eastAsia" w:ascii="宋体" w:hAnsi="宋体"/>
          <w:sz w:val="24"/>
          <w:szCs w:val="24"/>
        </w:rPr>
        <w:t>2.4.3 采购人根据采购项目对供应商的特殊要求，联合体中至少应当有一方符合其规定。（如适用）</w:t>
      </w:r>
    </w:p>
    <w:p>
      <w:pPr>
        <w:spacing w:line="360" w:lineRule="auto"/>
        <w:ind w:left="1199" w:leftChars="228" w:hanging="720" w:hangingChars="300"/>
        <w:rPr>
          <w:rFonts w:ascii="宋体" w:hAnsi="宋体"/>
          <w:sz w:val="24"/>
          <w:szCs w:val="24"/>
        </w:rPr>
      </w:pPr>
      <w:r>
        <w:rPr>
          <w:rFonts w:hint="eastAsia" w:ascii="宋体" w:hAnsi="宋体"/>
          <w:sz w:val="24"/>
          <w:szCs w:val="24"/>
        </w:rPr>
        <w:t>2.4.4 联合体各方应签订共同投标协议，明确约定联合体各方承担的工作和相应的责任，并将共同报价协议连同磋商文件一并递交采购单位。（如适用）</w:t>
      </w:r>
    </w:p>
    <w:p>
      <w:pPr>
        <w:spacing w:line="360" w:lineRule="auto"/>
        <w:ind w:left="1199" w:leftChars="228" w:hanging="720" w:hangingChars="300"/>
        <w:rPr>
          <w:rFonts w:ascii="宋体" w:hAnsi="宋体"/>
          <w:sz w:val="24"/>
          <w:szCs w:val="24"/>
        </w:rPr>
      </w:pPr>
      <w:r>
        <w:rPr>
          <w:rFonts w:hint="eastAsia" w:ascii="宋体" w:hAnsi="宋体"/>
          <w:sz w:val="24"/>
          <w:szCs w:val="24"/>
        </w:rPr>
        <w:t xml:space="preserve">2.4.5 </w:t>
      </w:r>
      <w:r>
        <w:rPr>
          <w:rFonts w:ascii="宋体" w:hAnsi="宋体"/>
          <w:sz w:val="24"/>
          <w:szCs w:val="24"/>
        </w:rPr>
        <w:t>大中型企业和其他自然人、法人或者其他组织与小型、微型企业组成联合体共同参加</w:t>
      </w:r>
      <w:r>
        <w:rPr>
          <w:rFonts w:hint="eastAsia" w:ascii="宋体" w:hAnsi="宋体"/>
          <w:sz w:val="24"/>
          <w:szCs w:val="24"/>
        </w:rPr>
        <w:t>报价，共同投标</w:t>
      </w:r>
      <w:r>
        <w:rPr>
          <w:rFonts w:ascii="宋体" w:hAnsi="宋体"/>
          <w:sz w:val="24"/>
          <w:szCs w:val="24"/>
        </w:rPr>
        <w:t>协议中</w:t>
      </w:r>
      <w:r>
        <w:rPr>
          <w:rFonts w:hint="eastAsia" w:ascii="宋体" w:hAnsi="宋体"/>
          <w:sz w:val="24"/>
          <w:szCs w:val="24"/>
        </w:rPr>
        <w:t>应写明</w:t>
      </w:r>
      <w:r>
        <w:rPr>
          <w:rFonts w:ascii="宋体" w:hAnsi="宋体"/>
          <w:sz w:val="24"/>
          <w:szCs w:val="24"/>
        </w:rPr>
        <w:t>小型、微型企业的协议合同金额占到</w:t>
      </w:r>
      <w:r>
        <w:rPr>
          <w:rFonts w:hint="eastAsia" w:ascii="宋体" w:hAnsi="宋体"/>
          <w:sz w:val="24"/>
          <w:szCs w:val="24"/>
        </w:rPr>
        <w:t>共同报价</w:t>
      </w:r>
      <w:r>
        <w:rPr>
          <w:rFonts w:ascii="宋体" w:hAnsi="宋体"/>
          <w:sz w:val="24"/>
          <w:szCs w:val="24"/>
        </w:rPr>
        <w:t>协议合同总金额</w:t>
      </w:r>
      <w:r>
        <w:rPr>
          <w:rFonts w:hint="eastAsia" w:ascii="宋体" w:hAnsi="宋体"/>
          <w:sz w:val="24"/>
          <w:szCs w:val="24"/>
        </w:rPr>
        <w:t>的比例。（如适用）</w:t>
      </w:r>
    </w:p>
    <w:p>
      <w:pPr>
        <w:spacing w:line="360" w:lineRule="auto"/>
        <w:ind w:left="1199" w:leftChars="228" w:hanging="720" w:hangingChars="300"/>
        <w:rPr>
          <w:rFonts w:ascii="宋体" w:hAnsi="宋体"/>
          <w:sz w:val="24"/>
          <w:szCs w:val="24"/>
        </w:rPr>
      </w:pPr>
      <w:r>
        <w:rPr>
          <w:rFonts w:hint="eastAsia" w:ascii="宋体" w:hAnsi="宋体"/>
          <w:sz w:val="24"/>
          <w:szCs w:val="24"/>
        </w:rPr>
        <w:t>2.4.6 联合体各方签订共同报价协议后，不得再以自己名义单独在同一项目中报价，也不得组成新的联合体参加同一项目报价。（如适用）</w:t>
      </w:r>
    </w:p>
    <w:p>
      <w:pPr>
        <w:spacing w:line="360" w:lineRule="auto"/>
        <w:ind w:left="1199" w:leftChars="228" w:hanging="720" w:hangingChars="300"/>
        <w:rPr>
          <w:rFonts w:ascii="宋体" w:hAnsi="宋体"/>
          <w:sz w:val="24"/>
          <w:szCs w:val="24"/>
        </w:rPr>
      </w:pPr>
      <w:r>
        <w:rPr>
          <w:rFonts w:hint="eastAsia" w:ascii="宋体" w:hAnsi="宋体"/>
          <w:sz w:val="24"/>
          <w:szCs w:val="24"/>
        </w:rPr>
        <w:t>2.4.7 联合体各方在同一磋商采购项目中以自己名义单独报价或者参加其他联合体报价的，相关报价均无效。（如适用）</w:t>
      </w:r>
    </w:p>
    <w:p>
      <w:pPr>
        <w:spacing w:line="360" w:lineRule="auto"/>
        <w:ind w:firstLine="480" w:firstLineChars="200"/>
        <w:rPr>
          <w:rFonts w:ascii="宋体" w:hAnsi="宋体"/>
          <w:sz w:val="24"/>
          <w:szCs w:val="24"/>
        </w:rPr>
      </w:pPr>
      <w:r>
        <w:rPr>
          <w:rFonts w:hint="eastAsia" w:ascii="宋体" w:hAnsi="宋体"/>
          <w:sz w:val="24"/>
          <w:szCs w:val="24"/>
        </w:rPr>
        <w:t>2.4.8 对联合体报价的其他资格要求见供应商须知资料表。（如适用）</w:t>
      </w:r>
    </w:p>
    <w:p>
      <w:pPr>
        <w:spacing w:line="360" w:lineRule="auto"/>
        <w:ind w:left="480" w:hanging="480" w:hangingChars="200"/>
        <w:rPr>
          <w:rFonts w:ascii="宋体" w:hAnsi="宋体"/>
          <w:sz w:val="24"/>
          <w:szCs w:val="24"/>
        </w:rPr>
      </w:pPr>
      <w:r>
        <w:rPr>
          <w:rFonts w:hint="eastAsia" w:ascii="宋体" w:hAnsi="宋体"/>
          <w:sz w:val="24"/>
          <w:szCs w:val="24"/>
        </w:rPr>
        <w:t>2.5 凡受托为本次采购项目进行整体设计、规范编制或者项目管理、监理、检测等服务的供应商，及相关联的附属机构，不得参与报价；单位负责人为同一人或者存在直接控股、管理关系的不同供应商，不得同时参加同一包号的政府采购活动。</w:t>
      </w:r>
    </w:p>
    <w:p>
      <w:pPr>
        <w:spacing w:line="360" w:lineRule="auto"/>
        <w:ind w:left="480" w:right="105" w:rightChars="50" w:hanging="480" w:hangingChars="200"/>
        <w:jc w:val="left"/>
        <w:rPr>
          <w:rFonts w:ascii="宋体" w:hAnsi="宋体"/>
          <w:sz w:val="24"/>
          <w:szCs w:val="24"/>
        </w:rPr>
      </w:pPr>
      <w:r>
        <w:rPr>
          <w:rFonts w:hint="eastAsia" w:ascii="宋体" w:hAnsi="宋体"/>
          <w:sz w:val="24"/>
          <w:szCs w:val="24"/>
        </w:rPr>
        <w:t>2.6凡在法律或财务上不能独立合法经营，或在法律或财务上不能独立于本项目磋商采购单位的任何机构，不得参加报价。</w:t>
      </w:r>
    </w:p>
    <w:p>
      <w:pPr>
        <w:spacing w:line="360" w:lineRule="auto"/>
        <w:ind w:left="480" w:right="105" w:rightChars="50" w:hanging="480" w:hangingChars="200"/>
        <w:jc w:val="left"/>
        <w:rPr>
          <w:rFonts w:ascii="宋体" w:hAnsi="宋体"/>
          <w:sz w:val="24"/>
          <w:szCs w:val="24"/>
        </w:rPr>
      </w:pPr>
      <w:r>
        <w:rPr>
          <w:rFonts w:hint="eastAsia" w:ascii="宋体" w:hAnsi="宋体"/>
          <w:sz w:val="24"/>
          <w:szCs w:val="24"/>
        </w:rPr>
        <w:t>2</w:t>
      </w:r>
      <w:r>
        <w:rPr>
          <w:rFonts w:ascii="宋体" w:hAnsi="宋体"/>
          <w:sz w:val="24"/>
          <w:szCs w:val="24"/>
        </w:rPr>
        <w:t xml:space="preserve">.7 </w:t>
      </w:r>
      <w:r>
        <w:rPr>
          <w:rFonts w:hint="eastAsia" w:ascii="宋体" w:hAnsi="宋体"/>
          <w:sz w:val="24"/>
          <w:szCs w:val="24"/>
        </w:rPr>
        <w:t>供应商信用信息</w:t>
      </w:r>
    </w:p>
    <w:p>
      <w:pPr>
        <w:spacing w:line="360" w:lineRule="auto"/>
        <w:ind w:right="105" w:rightChars="50" w:firstLine="424" w:firstLineChars="177"/>
        <w:jc w:val="left"/>
        <w:rPr>
          <w:rFonts w:ascii="宋体" w:hAnsi="宋体"/>
          <w:sz w:val="24"/>
          <w:szCs w:val="24"/>
        </w:rPr>
      </w:pPr>
      <w:r>
        <w:rPr>
          <w:rFonts w:hint="eastAsia" w:ascii="宋体" w:hAnsi="宋体"/>
          <w:sz w:val="24"/>
          <w:szCs w:val="24"/>
        </w:rPr>
        <w:t>信用信息查询渠道：“信用中国”网站（www.creditchina.gov.cn）、中国政府采购网（www.ccgp.gov.cn）。</w:t>
      </w:r>
    </w:p>
    <w:p>
      <w:pPr>
        <w:spacing w:line="360" w:lineRule="auto"/>
        <w:ind w:right="105" w:rightChars="50" w:firstLine="424" w:firstLineChars="177"/>
        <w:jc w:val="left"/>
        <w:rPr>
          <w:rFonts w:ascii="宋体" w:hAnsi="宋体"/>
          <w:sz w:val="24"/>
          <w:szCs w:val="24"/>
        </w:rPr>
      </w:pPr>
      <w:r>
        <w:rPr>
          <w:rFonts w:hint="eastAsia" w:ascii="宋体" w:hAnsi="宋体"/>
          <w:sz w:val="24"/>
          <w:szCs w:val="24"/>
        </w:rPr>
        <w:t>信用信息查询记录和证据留存的具体方式：以网站截图打印稿形式留存。</w:t>
      </w:r>
    </w:p>
    <w:p>
      <w:pPr>
        <w:spacing w:line="360" w:lineRule="auto"/>
        <w:ind w:right="105" w:rightChars="50" w:firstLine="424" w:firstLineChars="177"/>
        <w:jc w:val="left"/>
        <w:rPr>
          <w:rFonts w:ascii="宋体" w:hAnsi="宋体"/>
          <w:sz w:val="24"/>
          <w:szCs w:val="24"/>
        </w:rPr>
      </w:pPr>
      <w:r>
        <w:rPr>
          <w:rFonts w:hint="eastAsia" w:ascii="宋体" w:hAnsi="宋体"/>
          <w:sz w:val="24"/>
          <w:szCs w:val="24"/>
        </w:rPr>
        <w:t>信用信息查询截止时点：采购代理机构于磋商日期当天查询。</w:t>
      </w:r>
    </w:p>
    <w:p>
      <w:pPr>
        <w:spacing w:line="360" w:lineRule="auto"/>
        <w:ind w:right="105" w:rightChars="50" w:firstLine="424" w:firstLineChars="177"/>
        <w:jc w:val="left"/>
        <w:rPr>
          <w:rFonts w:ascii="宋体" w:hAnsi="宋体"/>
          <w:sz w:val="24"/>
          <w:szCs w:val="24"/>
        </w:rPr>
      </w:pPr>
      <w:r>
        <w:rPr>
          <w:rFonts w:hint="eastAsia" w:ascii="宋体" w:hAnsi="宋体"/>
          <w:sz w:val="24"/>
          <w:szCs w:val="24"/>
        </w:rPr>
        <w:t>如供应商为“信用中国”网站（www.creditchina.gov.cn）中列入失信被执行人或重大税收违法案件当事人名单的供应商，或为中国政府采购网（www.ccgp.gov.cn）政府采购严重违法失信行为记录名单中被财政部门禁止参加政府采购活动的供应商（处罚决定规定的时间和地域范围内），则其投标将被拒绝。</w:t>
      </w:r>
    </w:p>
    <w:p>
      <w:pPr>
        <w:spacing w:line="360" w:lineRule="auto"/>
        <w:ind w:right="105" w:rightChars="50" w:firstLine="424" w:firstLineChars="177"/>
        <w:jc w:val="left"/>
        <w:rPr>
          <w:rFonts w:ascii="宋体" w:hAnsi="宋体"/>
          <w:sz w:val="24"/>
          <w:szCs w:val="24"/>
        </w:rPr>
      </w:pPr>
      <w:r>
        <w:rPr>
          <w:rFonts w:hint="eastAsia" w:ascii="宋体" w:hAnsi="宋体"/>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left="480" w:right="105" w:rightChars="50" w:hanging="480" w:hangingChars="200"/>
        <w:jc w:val="left"/>
        <w:rPr>
          <w:rFonts w:ascii="宋体" w:hAnsi="宋体"/>
          <w:sz w:val="24"/>
          <w:szCs w:val="24"/>
        </w:rPr>
      </w:pPr>
      <w:r>
        <w:rPr>
          <w:rFonts w:hint="eastAsia" w:ascii="宋体" w:hAnsi="宋体"/>
          <w:sz w:val="24"/>
          <w:szCs w:val="24"/>
        </w:rPr>
        <w:t>2.7供应商在项目采购过程中不得向采购人和采购代理机构提供、给予任何有价值的物品，一经发现，其供应商资格将被取消。</w:t>
      </w:r>
    </w:p>
    <w:p>
      <w:pPr>
        <w:spacing w:line="360" w:lineRule="auto"/>
        <w:ind w:left="360" w:right="105" w:rightChars="50" w:hanging="360" w:hangingChars="150"/>
        <w:jc w:val="left"/>
        <w:rPr>
          <w:rFonts w:ascii="宋体" w:hAnsi="宋体"/>
          <w:sz w:val="24"/>
          <w:szCs w:val="24"/>
        </w:rPr>
      </w:pPr>
      <w:r>
        <w:rPr>
          <w:rFonts w:hint="eastAsia" w:ascii="宋体" w:hAnsi="宋体"/>
          <w:sz w:val="24"/>
          <w:szCs w:val="24"/>
        </w:rPr>
        <w:t>2.8采购人和采购代理机构在任何时候发现供应商以他人名义报价、相互串通报价，供应商递交的响应文件中递交虚假资料或失实资料的，或者以其他方式弄虚作假的，其报价将被拒绝并没收其磋商保证金，并视情况依法追究责任。</w:t>
      </w:r>
    </w:p>
    <w:p>
      <w:pPr>
        <w:pStyle w:val="4"/>
        <w:rPr>
          <w:rFonts w:ascii="宋体" w:hAnsi="宋体"/>
        </w:rPr>
      </w:pPr>
      <w:bookmarkStart w:id="56" w:name="_Toc146043866"/>
      <w:r>
        <w:rPr>
          <w:rFonts w:hint="eastAsia" w:ascii="宋体" w:hAnsi="宋体"/>
        </w:rPr>
        <w:t>3. 磋商费用</w:t>
      </w:r>
      <w:bookmarkEnd w:id="56"/>
    </w:p>
    <w:p>
      <w:pPr>
        <w:tabs>
          <w:tab w:val="left" w:pos="8640"/>
        </w:tabs>
        <w:spacing w:line="360" w:lineRule="auto"/>
        <w:ind w:left="600" w:right="281" w:rightChars="134" w:hanging="600" w:hangingChars="250"/>
        <w:rPr>
          <w:rFonts w:ascii="宋体" w:hAnsi="宋体"/>
          <w:sz w:val="24"/>
          <w:szCs w:val="24"/>
        </w:rPr>
      </w:pPr>
      <w:r>
        <w:rPr>
          <w:rFonts w:hint="eastAsia" w:ascii="宋体" w:hAnsi="宋体"/>
          <w:sz w:val="24"/>
          <w:szCs w:val="24"/>
        </w:rPr>
        <w:t>3.1  供应商应承担所有与编写和递交响应文件有关的费用，不论磋商结果如何，“供应商须知资料表”中所述的采购代理机构和采购人均无义务和责任承担这些费用。</w:t>
      </w:r>
    </w:p>
    <w:p>
      <w:pPr>
        <w:tabs>
          <w:tab w:val="left" w:pos="8640"/>
        </w:tabs>
        <w:spacing w:line="360" w:lineRule="auto"/>
        <w:ind w:left="720" w:right="281" w:rightChars="134" w:hanging="720"/>
        <w:rPr>
          <w:rFonts w:ascii="宋体" w:hAnsi="宋体"/>
          <w:sz w:val="24"/>
          <w:szCs w:val="24"/>
        </w:rPr>
      </w:pPr>
      <w:r>
        <w:rPr>
          <w:rFonts w:hint="eastAsia" w:ascii="宋体" w:hAnsi="宋体"/>
          <w:sz w:val="24"/>
          <w:szCs w:val="24"/>
        </w:rPr>
        <w:t>3.2  采购人不给予供应商任何补偿。</w:t>
      </w:r>
    </w:p>
    <w:p>
      <w:pPr>
        <w:pStyle w:val="3"/>
      </w:pPr>
      <w:bookmarkStart w:id="57" w:name="_Toc146043867"/>
      <w:r>
        <w:rPr>
          <w:rFonts w:hint="eastAsia"/>
        </w:rPr>
        <w:t>二、竞争性磋商文件</w:t>
      </w:r>
      <w:bookmarkEnd w:id="57"/>
    </w:p>
    <w:p>
      <w:pPr>
        <w:pStyle w:val="4"/>
        <w:rPr>
          <w:rFonts w:ascii="宋体" w:hAnsi="宋体"/>
        </w:rPr>
      </w:pPr>
      <w:bookmarkStart w:id="58" w:name="_Toc146043868"/>
      <w:r>
        <w:rPr>
          <w:rFonts w:hint="eastAsia" w:ascii="宋体" w:hAnsi="宋体"/>
        </w:rPr>
        <w:t>4. 竞争性磋商文件构成</w:t>
      </w:r>
      <w:bookmarkEnd w:id="58"/>
    </w:p>
    <w:p>
      <w:pPr>
        <w:tabs>
          <w:tab w:val="left" w:pos="8640"/>
        </w:tabs>
        <w:spacing w:line="360" w:lineRule="auto"/>
        <w:ind w:right="281" w:rightChars="134"/>
        <w:rPr>
          <w:rFonts w:ascii="宋体" w:hAnsi="宋体"/>
          <w:sz w:val="24"/>
          <w:szCs w:val="24"/>
        </w:rPr>
      </w:pPr>
      <w:r>
        <w:rPr>
          <w:rFonts w:hint="eastAsia" w:ascii="宋体" w:hAnsi="宋体"/>
          <w:sz w:val="24"/>
          <w:szCs w:val="24"/>
        </w:rPr>
        <w:t>4.1   要求提供的系统服务、磋商过程在竞争性磋商文件中均有说明。</w:t>
      </w:r>
    </w:p>
    <w:p>
      <w:pPr>
        <w:spacing w:before="120" w:line="360" w:lineRule="auto"/>
        <w:ind w:firstLine="720" w:firstLineChars="300"/>
        <w:rPr>
          <w:rFonts w:ascii="宋体" w:hAnsi="宋体"/>
          <w:sz w:val="24"/>
          <w:szCs w:val="24"/>
        </w:rPr>
      </w:pPr>
      <w:r>
        <w:rPr>
          <w:rFonts w:hint="eastAsia" w:ascii="宋体" w:hAnsi="宋体"/>
          <w:sz w:val="24"/>
          <w:szCs w:val="24"/>
        </w:rPr>
        <w:t>竞争性磋商文件共七章，内容如下：</w:t>
      </w:r>
    </w:p>
    <w:p>
      <w:pPr>
        <w:spacing w:before="120" w:line="360" w:lineRule="auto"/>
        <w:ind w:firstLine="720" w:firstLineChars="300"/>
        <w:rPr>
          <w:rFonts w:ascii="宋体" w:hAnsi="宋体"/>
          <w:sz w:val="24"/>
          <w:szCs w:val="24"/>
        </w:rPr>
      </w:pPr>
      <w:r>
        <w:rPr>
          <w:rFonts w:hint="eastAsia" w:ascii="宋体" w:hAnsi="宋体"/>
          <w:sz w:val="24"/>
          <w:szCs w:val="24"/>
        </w:rPr>
        <w:t>第一章 竞争性磋商邀请</w:t>
      </w:r>
    </w:p>
    <w:p>
      <w:pPr>
        <w:spacing w:before="120" w:line="360" w:lineRule="auto"/>
        <w:ind w:firstLine="720" w:firstLineChars="300"/>
        <w:rPr>
          <w:rFonts w:ascii="宋体" w:hAnsi="宋体"/>
          <w:sz w:val="24"/>
          <w:szCs w:val="24"/>
        </w:rPr>
      </w:pPr>
      <w:r>
        <w:rPr>
          <w:rFonts w:hint="eastAsia" w:ascii="宋体" w:hAnsi="宋体"/>
          <w:sz w:val="24"/>
          <w:szCs w:val="24"/>
        </w:rPr>
        <w:t>第二章 供应商须知资料表</w:t>
      </w:r>
    </w:p>
    <w:p>
      <w:pPr>
        <w:spacing w:before="120" w:line="360" w:lineRule="auto"/>
        <w:ind w:firstLine="720" w:firstLineChars="300"/>
        <w:rPr>
          <w:rFonts w:ascii="宋体" w:hAnsi="宋体"/>
          <w:sz w:val="24"/>
          <w:szCs w:val="24"/>
        </w:rPr>
      </w:pPr>
      <w:r>
        <w:rPr>
          <w:rFonts w:hint="eastAsia" w:ascii="宋体" w:hAnsi="宋体"/>
          <w:sz w:val="24"/>
          <w:szCs w:val="24"/>
        </w:rPr>
        <w:t>第三章 供应商须知</w:t>
      </w:r>
    </w:p>
    <w:p>
      <w:pPr>
        <w:spacing w:before="120" w:line="360" w:lineRule="auto"/>
        <w:ind w:firstLine="720" w:firstLineChars="300"/>
        <w:rPr>
          <w:rFonts w:ascii="宋体" w:hAnsi="宋体"/>
          <w:sz w:val="24"/>
          <w:szCs w:val="24"/>
        </w:rPr>
      </w:pPr>
      <w:r>
        <w:rPr>
          <w:rFonts w:hint="eastAsia" w:ascii="宋体" w:hAnsi="宋体"/>
          <w:sz w:val="24"/>
          <w:szCs w:val="24"/>
        </w:rPr>
        <w:t>第四章 项目需求书</w:t>
      </w:r>
    </w:p>
    <w:p>
      <w:pPr>
        <w:spacing w:before="120" w:line="360" w:lineRule="auto"/>
        <w:ind w:firstLine="720" w:firstLineChars="300"/>
        <w:rPr>
          <w:rFonts w:ascii="宋体" w:hAnsi="宋体"/>
          <w:sz w:val="24"/>
          <w:szCs w:val="24"/>
        </w:rPr>
      </w:pPr>
      <w:r>
        <w:rPr>
          <w:rFonts w:hint="eastAsia" w:ascii="宋体" w:hAnsi="宋体"/>
          <w:sz w:val="24"/>
          <w:szCs w:val="24"/>
        </w:rPr>
        <w:t>第五章 评审办法及评分标准</w:t>
      </w:r>
    </w:p>
    <w:p>
      <w:pPr>
        <w:spacing w:before="120" w:line="360" w:lineRule="auto"/>
        <w:ind w:firstLine="720" w:firstLineChars="300"/>
        <w:rPr>
          <w:rFonts w:ascii="宋体" w:hAnsi="宋体"/>
          <w:sz w:val="24"/>
          <w:szCs w:val="24"/>
        </w:rPr>
      </w:pPr>
      <w:r>
        <w:rPr>
          <w:rFonts w:hint="eastAsia" w:ascii="宋体" w:hAnsi="宋体"/>
          <w:sz w:val="24"/>
          <w:szCs w:val="24"/>
        </w:rPr>
        <w:t>第六章 响应文件组成和格式</w:t>
      </w:r>
    </w:p>
    <w:p>
      <w:pPr>
        <w:spacing w:before="120" w:line="360" w:lineRule="auto"/>
        <w:ind w:firstLine="720" w:firstLineChars="300"/>
        <w:rPr>
          <w:rFonts w:ascii="宋体" w:hAnsi="宋体"/>
          <w:sz w:val="24"/>
          <w:szCs w:val="24"/>
        </w:rPr>
      </w:pPr>
      <w:r>
        <w:rPr>
          <w:rFonts w:hint="eastAsia" w:ascii="宋体" w:hAnsi="宋体"/>
          <w:sz w:val="24"/>
          <w:szCs w:val="24"/>
        </w:rPr>
        <w:t>第七章 合同格式</w:t>
      </w:r>
    </w:p>
    <w:p>
      <w:pPr>
        <w:tabs>
          <w:tab w:val="left" w:pos="8640"/>
        </w:tabs>
        <w:spacing w:line="360" w:lineRule="auto"/>
        <w:ind w:left="720" w:right="281" w:rightChars="134" w:hanging="720" w:hangingChars="300"/>
        <w:rPr>
          <w:rFonts w:ascii="宋体" w:hAnsi="宋体"/>
          <w:sz w:val="24"/>
          <w:szCs w:val="24"/>
        </w:rPr>
      </w:pPr>
      <w:r>
        <w:rPr>
          <w:rFonts w:hint="eastAsia" w:ascii="宋体" w:hAnsi="宋体"/>
          <w:sz w:val="24"/>
          <w:szCs w:val="24"/>
        </w:rPr>
        <w:t>4.2   供应商应认真阅读竞争性磋商文件中所有的事项、格式、条款和规范等。如供应商没有按照磋商文件要求提交全部资料，或者响应文件没有对磋商文件在各方面都做出实质性响应是供应商的风险，并可能导致其响应无效。</w:t>
      </w:r>
    </w:p>
    <w:p>
      <w:pPr>
        <w:pStyle w:val="4"/>
        <w:rPr>
          <w:rFonts w:ascii="宋体" w:hAnsi="宋体"/>
        </w:rPr>
      </w:pPr>
      <w:bookmarkStart w:id="59" w:name="_Toc146043869"/>
      <w:r>
        <w:rPr>
          <w:rFonts w:hint="eastAsia" w:ascii="宋体" w:hAnsi="宋体"/>
        </w:rPr>
        <w:t>5. 竞争性磋商文件的澄清</w:t>
      </w:r>
      <w:bookmarkEnd w:id="59"/>
    </w:p>
    <w:p>
      <w:pPr>
        <w:tabs>
          <w:tab w:val="left" w:pos="8640"/>
        </w:tabs>
        <w:spacing w:line="360" w:lineRule="auto"/>
        <w:ind w:left="780" w:right="281" w:rightChars="134" w:hanging="780" w:hangingChars="325"/>
        <w:rPr>
          <w:rFonts w:ascii="宋体" w:hAnsi="宋体"/>
          <w:sz w:val="24"/>
          <w:szCs w:val="24"/>
        </w:rPr>
      </w:pPr>
      <w:r>
        <w:rPr>
          <w:rFonts w:hint="eastAsia" w:ascii="宋体" w:hAnsi="宋体"/>
          <w:sz w:val="24"/>
          <w:szCs w:val="24"/>
        </w:rPr>
        <w:t>5.1  任何要求对竞争性磋商文件进行澄清的供应商，均应以书面形式通知采购代理机构或采购人，采购代理机构对其在资料表中所述递交磋商文件截止期以前收到的对竞争性磋商文件的澄清要求将以书面形式予以答复，同时将书面答复通知所有购买竞争性磋商文件的供应商(答复中不注明问题的来源)。</w:t>
      </w:r>
    </w:p>
    <w:p>
      <w:pPr>
        <w:pStyle w:val="4"/>
        <w:rPr>
          <w:rFonts w:ascii="宋体" w:hAnsi="宋体"/>
        </w:rPr>
      </w:pPr>
      <w:bookmarkStart w:id="60" w:name="_Toc146043870"/>
      <w:r>
        <w:rPr>
          <w:rFonts w:hint="eastAsia" w:ascii="宋体" w:hAnsi="宋体"/>
        </w:rPr>
        <w:t>6. 对竞争性磋商文件的修改</w:t>
      </w:r>
      <w:bookmarkEnd w:id="60"/>
    </w:p>
    <w:p>
      <w:pPr>
        <w:tabs>
          <w:tab w:val="left" w:pos="8640"/>
        </w:tabs>
        <w:spacing w:line="360" w:lineRule="auto"/>
        <w:ind w:left="720" w:right="281" w:rightChars="134" w:hanging="720" w:hangingChars="300"/>
        <w:rPr>
          <w:rFonts w:ascii="宋体" w:hAnsi="宋体"/>
          <w:sz w:val="24"/>
          <w:szCs w:val="24"/>
        </w:rPr>
      </w:pPr>
      <w:r>
        <w:rPr>
          <w:rFonts w:hint="eastAsia" w:ascii="宋体" w:hAnsi="宋体"/>
          <w:sz w:val="24"/>
          <w:szCs w:val="24"/>
        </w:rPr>
        <w:t>6.1   在磋商文件递交截止日期前的任何时候，无论出于何种原因，采购代理机构可主动地或在解答供应商提出的澄清问题时对竞争性磋商文件进行修改。</w:t>
      </w:r>
    </w:p>
    <w:p>
      <w:pPr>
        <w:tabs>
          <w:tab w:val="left" w:pos="8640"/>
        </w:tabs>
        <w:spacing w:line="360" w:lineRule="auto"/>
        <w:ind w:left="720" w:right="281" w:rightChars="134" w:hanging="720" w:hangingChars="300"/>
        <w:rPr>
          <w:rFonts w:ascii="宋体" w:hAnsi="宋体"/>
          <w:sz w:val="24"/>
          <w:szCs w:val="24"/>
        </w:rPr>
      </w:pPr>
      <w:r>
        <w:rPr>
          <w:rFonts w:hint="eastAsia" w:ascii="宋体" w:hAnsi="宋体"/>
          <w:sz w:val="24"/>
          <w:szCs w:val="24"/>
        </w:rPr>
        <w:t>6.2   竞争性磋商文件的修改将以书面形式通知所有购买竞争性磋商文件的供应商，并对其具有约束力。供应商在收到上述通知后，应立即向采购代理机构回函确认回复。</w:t>
      </w:r>
    </w:p>
    <w:p>
      <w:pPr>
        <w:pStyle w:val="3"/>
      </w:pPr>
      <w:bookmarkStart w:id="61" w:name="_Toc146043871"/>
      <w:r>
        <w:rPr>
          <w:rFonts w:hint="eastAsia"/>
        </w:rPr>
        <w:t>三、响应文件的编制</w:t>
      </w:r>
      <w:bookmarkEnd w:id="61"/>
    </w:p>
    <w:p>
      <w:pPr>
        <w:pStyle w:val="4"/>
        <w:rPr>
          <w:rFonts w:ascii="宋体" w:hAnsi="宋体"/>
        </w:rPr>
      </w:pPr>
      <w:bookmarkStart w:id="62" w:name="_Toc146043872"/>
      <w:r>
        <w:rPr>
          <w:rFonts w:hint="eastAsia" w:ascii="宋体" w:hAnsi="宋体"/>
        </w:rPr>
        <w:t>7. 语言</w:t>
      </w:r>
      <w:bookmarkEnd w:id="62"/>
    </w:p>
    <w:p>
      <w:pPr>
        <w:tabs>
          <w:tab w:val="left" w:pos="8640"/>
        </w:tabs>
        <w:spacing w:line="360" w:lineRule="auto"/>
        <w:ind w:left="720" w:right="281" w:rightChars="134" w:hanging="720" w:hangingChars="300"/>
        <w:rPr>
          <w:rFonts w:ascii="宋体" w:hAnsi="宋体"/>
          <w:sz w:val="24"/>
          <w:szCs w:val="24"/>
        </w:rPr>
      </w:pPr>
      <w:r>
        <w:rPr>
          <w:rFonts w:hint="eastAsia" w:ascii="宋体" w:hAnsi="宋体"/>
          <w:sz w:val="24"/>
          <w:szCs w:val="24"/>
        </w:rPr>
        <w:t>7.1   供应商递交的响应文件以及供应商与采购代理机构和采购人就有关竞争性磋商的所有来往函电均应使用“供应商须知资料表”中规定的语言书写。供应商递交的证明文件和印制的资料可以用另一种语言，但应附有“供应商须知资料表”中规定语言的翻译本，在解释时以翻译本为准。</w:t>
      </w:r>
    </w:p>
    <w:p>
      <w:pPr>
        <w:pStyle w:val="4"/>
        <w:rPr>
          <w:rFonts w:ascii="宋体" w:hAnsi="宋体"/>
        </w:rPr>
      </w:pPr>
      <w:bookmarkStart w:id="63" w:name="_Toc146043873"/>
      <w:r>
        <w:rPr>
          <w:rFonts w:hint="eastAsia" w:ascii="宋体" w:hAnsi="宋体"/>
        </w:rPr>
        <w:t>8. 响应文件构成</w:t>
      </w:r>
      <w:bookmarkEnd w:id="63"/>
      <w:r>
        <w:rPr>
          <w:rFonts w:hint="eastAsia" w:ascii="宋体" w:hAnsi="宋体"/>
        </w:rPr>
        <w:t xml:space="preserve"> </w:t>
      </w:r>
    </w:p>
    <w:p>
      <w:pPr>
        <w:tabs>
          <w:tab w:val="left" w:pos="8640"/>
        </w:tabs>
        <w:spacing w:line="360" w:lineRule="auto"/>
        <w:ind w:right="281" w:rightChars="134"/>
        <w:rPr>
          <w:rFonts w:ascii="宋体" w:hAnsi="宋体"/>
          <w:sz w:val="24"/>
          <w:szCs w:val="24"/>
        </w:rPr>
      </w:pPr>
      <w:r>
        <w:rPr>
          <w:rFonts w:hint="eastAsia" w:ascii="宋体" w:hAnsi="宋体"/>
          <w:sz w:val="24"/>
          <w:szCs w:val="24"/>
        </w:rPr>
        <w:t>8.1  供应商编写的响应文件应包括下列部分：</w:t>
      </w:r>
    </w:p>
    <w:p>
      <w:pPr>
        <w:spacing w:line="360" w:lineRule="auto"/>
        <w:ind w:right="281" w:rightChars="134"/>
        <w:rPr>
          <w:rFonts w:ascii="宋体" w:hAnsi="宋体"/>
          <w:sz w:val="24"/>
          <w:szCs w:val="24"/>
        </w:rPr>
      </w:pPr>
      <w:r>
        <w:rPr>
          <w:rFonts w:hint="eastAsia" w:ascii="宋体" w:hAnsi="宋体"/>
          <w:sz w:val="24"/>
          <w:szCs w:val="24"/>
        </w:rPr>
        <w:t>8.1.1报价部分</w:t>
      </w:r>
    </w:p>
    <w:p>
      <w:pPr>
        <w:spacing w:line="360" w:lineRule="auto"/>
        <w:ind w:left="359" w:leftChars="171" w:right="281" w:rightChars="134" w:firstLine="240" w:firstLineChars="100"/>
        <w:rPr>
          <w:rFonts w:ascii="宋体" w:hAnsi="宋体"/>
          <w:sz w:val="24"/>
          <w:szCs w:val="24"/>
        </w:rPr>
      </w:pPr>
      <w:r>
        <w:rPr>
          <w:rFonts w:hint="eastAsia" w:ascii="宋体" w:hAnsi="宋体"/>
          <w:sz w:val="24"/>
          <w:szCs w:val="24"/>
        </w:rPr>
        <w:t>（1）报价函</w:t>
      </w:r>
    </w:p>
    <w:p>
      <w:pPr>
        <w:spacing w:line="360" w:lineRule="auto"/>
        <w:ind w:left="359" w:leftChars="171" w:right="281" w:rightChars="134" w:firstLine="240" w:firstLineChars="100"/>
        <w:rPr>
          <w:rFonts w:ascii="宋体" w:hAnsi="宋体"/>
          <w:sz w:val="24"/>
          <w:szCs w:val="24"/>
        </w:rPr>
      </w:pPr>
      <w:r>
        <w:rPr>
          <w:rFonts w:hint="eastAsia" w:ascii="宋体" w:hAnsi="宋体"/>
          <w:sz w:val="24"/>
          <w:szCs w:val="24"/>
        </w:rPr>
        <w:t>（2）报价表（需另单独密封提交一份）</w:t>
      </w:r>
    </w:p>
    <w:p>
      <w:pPr>
        <w:spacing w:line="360" w:lineRule="auto"/>
        <w:ind w:left="359" w:leftChars="171" w:right="281" w:rightChars="134" w:firstLine="240" w:firstLineChars="100"/>
        <w:rPr>
          <w:rFonts w:ascii="宋体" w:hAnsi="宋体"/>
          <w:sz w:val="24"/>
          <w:szCs w:val="24"/>
        </w:rPr>
      </w:pPr>
      <w:r>
        <w:rPr>
          <w:rFonts w:hint="eastAsia" w:ascii="宋体" w:hAnsi="宋体"/>
          <w:sz w:val="24"/>
          <w:szCs w:val="24"/>
        </w:rPr>
        <w:t>（3）分项报价表</w:t>
      </w:r>
    </w:p>
    <w:p>
      <w:pPr>
        <w:spacing w:line="360" w:lineRule="auto"/>
        <w:ind w:right="281" w:rightChars="134"/>
        <w:rPr>
          <w:rFonts w:ascii="宋体" w:hAnsi="宋体"/>
          <w:sz w:val="24"/>
          <w:szCs w:val="24"/>
        </w:rPr>
      </w:pPr>
      <w:r>
        <w:rPr>
          <w:rFonts w:hint="eastAsia" w:ascii="宋体" w:hAnsi="宋体"/>
          <w:sz w:val="24"/>
          <w:szCs w:val="24"/>
        </w:rPr>
        <w:t>8.1.2商务部分</w:t>
      </w:r>
    </w:p>
    <w:p>
      <w:pPr>
        <w:spacing w:line="360" w:lineRule="auto"/>
        <w:ind w:right="281" w:rightChars="134" w:firstLine="566" w:firstLineChars="236"/>
        <w:rPr>
          <w:rFonts w:ascii="宋体" w:hAnsi="宋体"/>
          <w:sz w:val="24"/>
          <w:szCs w:val="24"/>
        </w:rPr>
      </w:pPr>
      <w:r>
        <w:rPr>
          <w:rFonts w:hint="eastAsia" w:ascii="宋体" w:hAnsi="宋体"/>
          <w:sz w:val="24"/>
          <w:szCs w:val="24"/>
        </w:rPr>
        <w:t>（1）按照竞争性磋商文件第二章供应商须知资料表中8.1.2（1）要求提供的供应商资格证明文件。</w:t>
      </w:r>
    </w:p>
    <w:p>
      <w:pPr>
        <w:tabs>
          <w:tab w:val="left" w:pos="8640"/>
        </w:tabs>
        <w:spacing w:line="360" w:lineRule="auto"/>
        <w:ind w:right="281" w:rightChars="134" w:firstLine="600" w:firstLineChars="250"/>
        <w:rPr>
          <w:rFonts w:ascii="宋体" w:hAnsi="宋体"/>
          <w:sz w:val="24"/>
          <w:szCs w:val="24"/>
        </w:rPr>
      </w:pPr>
      <w:r>
        <w:rPr>
          <w:rFonts w:hint="eastAsia" w:ascii="宋体" w:hAnsi="宋体"/>
          <w:sz w:val="24"/>
          <w:szCs w:val="24"/>
        </w:rPr>
        <w:t>（2）业绩案例一览表</w:t>
      </w:r>
    </w:p>
    <w:p>
      <w:pPr>
        <w:tabs>
          <w:tab w:val="left" w:pos="8640"/>
        </w:tabs>
        <w:spacing w:line="360" w:lineRule="auto"/>
        <w:ind w:right="281" w:rightChars="134" w:firstLine="600" w:firstLineChars="250"/>
        <w:rPr>
          <w:rFonts w:ascii="宋体" w:hAnsi="宋体"/>
          <w:sz w:val="24"/>
          <w:szCs w:val="24"/>
        </w:rPr>
      </w:pPr>
      <w:r>
        <w:rPr>
          <w:rFonts w:hint="eastAsia" w:ascii="宋体" w:hAnsi="宋体"/>
          <w:sz w:val="24"/>
          <w:szCs w:val="24"/>
        </w:rPr>
        <w:t>（3）商务条款偏离表</w:t>
      </w:r>
    </w:p>
    <w:p>
      <w:pPr>
        <w:spacing w:line="360" w:lineRule="auto"/>
        <w:ind w:left="359" w:leftChars="171" w:right="281" w:rightChars="134" w:firstLine="240" w:firstLineChars="1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）成交服务费承诺书</w:t>
      </w:r>
    </w:p>
    <w:p>
      <w:pPr>
        <w:spacing w:line="360" w:lineRule="auto"/>
        <w:ind w:left="359" w:leftChars="171" w:right="281" w:rightChars="134" w:firstLine="240" w:firstLineChars="1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）磋商保证金递交证明</w:t>
      </w:r>
    </w:p>
    <w:p>
      <w:pPr>
        <w:spacing w:line="360" w:lineRule="auto"/>
        <w:ind w:left="359" w:leftChars="171" w:right="281" w:rightChars="134" w:firstLine="240" w:firstLineChars="1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）供应商情况表</w:t>
      </w:r>
    </w:p>
    <w:p>
      <w:pPr>
        <w:spacing w:line="360" w:lineRule="auto"/>
        <w:ind w:right="281" w:rightChars="134"/>
        <w:rPr>
          <w:rFonts w:ascii="宋体" w:hAnsi="宋体"/>
          <w:sz w:val="24"/>
          <w:szCs w:val="24"/>
        </w:rPr>
      </w:pPr>
      <w:r>
        <w:rPr>
          <w:rFonts w:hint="eastAsia" w:ascii="宋体" w:hAnsi="宋体"/>
          <w:sz w:val="24"/>
          <w:szCs w:val="24"/>
        </w:rPr>
        <w:t>8.1.3技术部分</w:t>
      </w:r>
    </w:p>
    <w:p>
      <w:pPr>
        <w:spacing w:line="360" w:lineRule="auto"/>
        <w:ind w:right="281" w:rightChars="134" w:firstLine="655" w:firstLineChars="273"/>
        <w:rPr>
          <w:rFonts w:ascii="宋体" w:hAnsi="宋体"/>
          <w:sz w:val="24"/>
          <w:szCs w:val="24"/>
        </w:rPr>
      </w:pPr>
      <w:r>
        <w:rPr>
          <w:rFonts w:hint="eastAsia" w:ascii="宋体" w:hAnsi="宋体"/>
          <w:sz w:val="24"/>
          <w:szCs w:val="24"/>
        </w:rPr>
        <w:t>（1）技术偏离表</w:t>
      </w:r>
    </w:p>
    <w:p>
      <w:pPr>
        <w:spacing w:line="360" w:lineRule="auto"/>
        <w:ind w:right="281" w:rightChars="134" w:firstLine="655" w:firstLineChars="273"/>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）详细的技术方案和说明（格式自定）</w:t>
      </w:r>
    </w:p>
    <w:p>
      <w:pPr>
        <w:spacing w:line="360" w:lineRule="auto"/>
        <w:ind w:right="281" w:rightChars="134" w:firstLine="655" w:firstLineChars="273"/>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）供应商提供的为本项目服务的人员情况说明（格式自定）</w:t>
      </w:r>
    </w:p>
    <w:p>
      <w:pPr>
        <w:spacing w:line="360" w:lineRule="auto"/>
        <w:ind w:right="281" w:rightChars="134" w:firstLine="655" w:firstLineChars="273"/>
        <w:rPr>
          <w:rFonts w:ascii="宋体" w:hAnsi="宋体"/>
          <w:sz w:val="24"/>
          <w:szCs w:val="24"/>
        </w:rPr>
      </w:pPr>
      <w:r>
        <w:rPr>
          <w:rFonts w:hint="eastAsia" w:ascii="宋体" w:hAnsi="宋体"/>
          <w:sz w:val="24"/>
          <w:szCs w:val="24"/>
        </w:rPr>
        <w:t>（4）供应商认为应该提供或磋商文件要求提供的其他材料</w:t>
      </w:r>
    </w:p>
    <w:p>
      <w:pPr>
        <w:spacing w:line="360" w:lineRule="auto"/>
        <w:ind w:right="281" w:rightChars="134"/>
        <w:rPr>
          <w:rFonts w:ascii="宋体" w:hAnsi="宋体"/>
          <w:sz w:val="24"/>
          <w:szCs w:val="24"/>
        </w:rPr>
      </w:pPr>
      <w:r>
        <w:rPr>
          <w:rFonts w:hint="eastAsia" w:ascii="宋体" w:hAnsi="宋体"/>
          <w:sz w:val="24"/>
          <w:szCs w:val="24"/>
        </w:rPr>
        <w:t>8.2  响应文件数量：</w:t>
      </w:r>
      <w:r>
        <w:rPr>
          <w:rFonts w:hint="eastAsia" w:ascii="宋体" w:hAnsi="宋体"/>
          <w:b/>
          <w:sz w:val="24"/>
          <w:szCs w:val="24"/>
        </w:rPr>
        <w:t>正本1份，副本</w:t>
      </w:r>
      <w:r>
        <w:rPr>
          <w:rFonts w:ascii="宋体" w:hAnsi="宋体"/>
          <w:b/>
          <w:sz w:val="24"/>
          <w:szCs w:val="24"/>
        </w:rPr>
        <w:t>3</w:t>
      </w:r>
      <w:r>
        <w:rPr>
          <w:rFonts w:hint="eastAsia" w:ascii="宋体" w:hAnsi="宋体"/>
          <w:b/>
          <w:sz w:val="24"/>
          <w:szCs w:val="24"/>
        </w:rPr>
        <w:t>份，电子版</w:t>
      </w:r>
      <w:r>
        <w:rPr>
          <w:rFonts w:ascii="宋体" w:hAnsi="宋体"/>
          <w:b/>
          <w:sz w:val="24"/>
          <w:szCs w:val="24"/>
        </w:rPr>
        <w:t>2</w:t>
      </w:r>
      <w:r>
        <w:rPr>
          <w:rFonts w:hint="eastAsia" w:ascii="宋体" w:hAnsi="宋体"/>
          <w:b/>
          <w:sz w:val="24"/>
          <w:szCs w:val="24"/>
        </w:rPr>
        <w:t>份</w:t>
      </w:r>
    </w:p>
    <w:p>
      <w:pPr>
        <w:tabs>
          <w:tab w:val="left" w:pos="8640"/>
        </w:tabs>
        <w:spacing w:line="360" w:lineRule="auto"/>
        <w:ind w:left="720" w:right="281" w:rightChars="134" w:hanging="720"/>
        <w:rPr>
          <w:rFonts w:ascii="宋体" w:hAnsi="宋体"/>
          <w:sz w:val="24"/>
          <w:szCs w:val="24"/>
        </w:rPr>
      </w:pPr>
      <w:r>
        <w:rPr>
          <w:rFonts w:hint="eastAsia" w:ascii="宋体" w:hAnsi="宋体"/>
          <w:sz w:val="24"/>
          <w:szCs w:val="24"/>
        </w:rPr>
        <w:t>8.2.1响应文件正本、副本和电子版的内容应一致，如果正本与副本不符，以正本为准。响应文件应由供应商的法定代表人或经正式授权并对供应商有约束力的代表在响应文件上签字。被授权代表需将以书面形式出具的“法定代表人授权书（原件）”附在响应文件中。任何行间插字、涂改和增删，必须由响应文件签字人在旁边签字才有效。</w:t>
      </w:r>
    </w:p>
    <w:p>
      <w:pPr>
        <w:tabs>
          <w:tab w:val="left" w:pos="8640"/>
        </w:tabs>
        <w:spacing w:line="360" w:lineRule="auto"/>
        <w:ind w:left="720" w:right="281" w:rightChars="134" w:hanging="720"/>
        <w:rPr>
          <w:rFonts w:ascii="宋体" w:hAnsi="宋体"/>
          <w:b/>
          <w:sz w:val="24"/>
          <w:szCs w:val="24"/>
        </w:rPr>
      </w:pPr>
      <w:r>
        <w:rPr>
          <w:rFonts w:hint="eastAsia" w:ascii="宋体" w:hAnsi="宋体"/>
          <w:sz w:val="24"/>
          <w:szCs w:val="24"/>
        </w:rPr>
        <w:t>8.2.2 每本响应文件的内容应装订成册，</w:t>
      </w:r>
      <w:r>
        <w:rPr>
          <w:rFonts w:hint="eastAsia" w:ascii="宋体" w:hAnsi="宋体"/>
          <w:b/>
          <w:sz w:val="24"/>
          <w:szCs w:val="24"/>
        </w:rPr>
        <w:t>一律采用胶装方式装订并附有相关页码，每本响应文件均须加盖供应商公章。</w:t>
      </w:r>
    </w:p>
    <w:p>
      <w:pPr>
        <w:tabs>
          <w:tab w:val="left" w:pos="8640"/>
        </w:tabs>
        <w:spacing w:line="360" w:lineRule="auto"/>
        <w:ind w:left="720" w:right="281" w:rightChars="134" w:hanging="720"/>
        <w:rPr>
          <w:rFonts w:ascii="宋体" w:hAnsi="宋体"/>
          <w:sz w:val="24"/>
          <w:szCs w:val="24"/>
        </w:rPr>
      </w:pPr>
      <w:r>
        <w:rPr>
          <w:rFonts w:hint="eastAsia" w:ascii="宋体" w:hAnsi="宋体"/>
          <w:sz w:val="24"/>
          <w:szCs w:val="24"/>
        </w:rPr>
        <w:t>8.2.3所有响应文件必须装入密封的信封，并在封口上加盖供应商的公章。响应文件的正本、副本和电子版应分别封装，并在每一信封或包装的封面上写明：</w:t>
      </w:r>
    </w:p>
    <w:p>
      <w:pPr>
        <w:spacing w:line="360" w:lineRule="auto"/>
        <w:ind w:firstLine="720" w:firstLineChars="300"/>
        <w:rPr>
          <w:rFonts w:ascii="宋体" w:hAnsi="宋体"/>
          <w:sz w:val="24"/>
          <w:szCs w:val="24"/>
        </w:rPr>
      </w:pPr>
      <w:r>
        <w:rPr>
          <w:rFonts w:hint="eastAsia" w:ascii="宋体" w:hAnsi="宋体"/>
          <w:sz w:val="24"/>
          <w:szCs w:val="24"/>
        </w:rPr>
        <w:t>正本或副本或电子版；</w:t>
      </w:r>
    </w:p>
    <w:p>
      <w:pPr>
        <w:spacing w:line="360" w:lineRule="auto"/>
        <w:ind w:firstLine="720" w:firstLineChars="300"/>
        <w:rPr>
          <w:rFonts w:ascii="宋体" w:hAnsi="宋体"/>
          <w:sz w:val="24"/>
          <w:szCs w:val="24"/>
        </w:rPr>
      </w:pPr>
      <w:r>
        <w:rPr>
          <w:rFonts w:hint="eastAsia" w:ascii="宋体" w:hAnsi="宋体"/>
          <w:sz w:val="24"/>
          <w:szCs w:val="24"/>
        </w:rPr>
        <w:t>项目单位名称；</w:t>
      </w:r>
    </w:p>
    <w:p>
      <w:pPr>
        <w:spacing w:line="360" w:lineRule="auto"/>
        <w:ind w:firstLine="720" w:firstLineChars="300"/>
        <w:rPr>
          <w:rFonts w:ascii="宋体" w:hAnsi="宋体"/>
          <w:sz w:val="24"/>
          <w:szCs w:val="24"/>
        </w:rPr>
      </w:pPr>
      <w:r>
        <w:rPr>
          <w:rFonts w:hint="eastAsia" w:ascii="宋体" w:hAnsi="宋体"/>
          <w:sz w:val="24"/>
          <w:szCs w:val="24"/>
        </w:rPr>
        <w:t>磋商地点及时间；</w:t>
      </w:r>
    </w:p>
    <w:p>
      <w:pPr>
        <w:spacing w:line="360" w:lineRule="auto"/>
        <w:ind w:firstLine="720" w:firstLineChars="300"/>
        <w:rPr>
          <w:rFonts w:ascii="宋体" w:hAnsi="宋体"/>
          <w:sz w:val="24"/>
          <w:szCs w:val="24"/>
        </w:rPr>
      </w:pPr>
      <w:r>
        <w:rPr>
          <w:rFonts w:hint="eastAsia" w:ascii="宋体" w:hAnsi="宋体"/>
          <w:sz w:val="24"/>
          <w:szCs w:val="24"/>
        </w:rPr>
        <w:t>项目编号；</w:t>
      </w:r>
    </w:p>
    <w:p>
      <w:pPr>
        <w:spacing w:line="360" w:lineRule="auto"/>
        <w:ind w:firstLine="720" w:firstLineChars="300"/>
        <w:rPr>
          <w:rFonts w:ascii="宋体" w:hAnsi="宋体"/>
          <w:sz w:val="24"/>
          <w:szCs w:val="24"/>
        </w:rPr>
      </w:pPr>
      <w:r>
        <w:rPr>
          <w:rFonts w:hint="eastAsia" w:ascii="宋体" w:hAnsi="宋体"/>
          <w:sz w:val="24"/>
          <w:szCs w:val="24"/>
        </w:rPr>
        <w:t>项目名称；</w:t>
      </w:r>
    </w:p>
    <w:p>
      <w:pPr>
        <w:spacing w:line="360" w:lineRule="auto"/>
        <w:ind w:firstLine="720" w:firstLineChars="300"/>
        <w:rPr>
          <w:rFonts w:ascii="宋体" w:hAnsi="宋体"/>
          <w:sz w:val="24"/>
          <w:szCs w:val="24"/>
        </w:rPr>
      </w:pPr>
      <w:r>
        <w:rPr>
          <w:rFonts w:hint="eastAsia" w:ascii="宋体" w:hAnsi="宋体"/>
          <w:sz w:val="24"/>
          <w:szCs w:val="24"/>
        </w:rPr>
        <w:t>供应商名称及地址。</w:t>
      </w:r>
    </w:p>
    <w:p>
      <w:pPr>
        <w:pStyle w:val="4"/>
        <w:rPr>
          <w:rFonts w:ascii="宋体" w:hAnsi="宋体"/>
        </w:rPr>
      </w:pPr>
      <w:bookmarkStart w:id="64" w:name="_Toc146043874"/>
      <w:r>
        <w:rPr>
          <w:rFonts w:hint="eastAsia" w:ascii="宋体" w:hAnsi="宋体"/>
        </w:rPr>
        <w:t>9. 报价</w:t>
      </w:r>
      <w:bookmarkEnd w:id="64"/>
    </w:p>
    <w:p>
      <w:pPr>
        <w:numPr>
          <w:ilvl w:val="1"/>
          <w:numId w:val="2"/>
        </w:numPr>
        <w:tabs>
          <w:tab w:val="left" w:pos="8640"/>
        </w:tabs>
        <w:spacing w:line="360" w:lineRule="auto"/>
        <w:ind w:right="281" w:rightChars="134"/>
        <w:rPr>
          <w:rFonts w:ascii="宋体" w:hAnsi="宋体"/>
          <w:sz w:val="24"/>
          <w:szCs w:val="24"/>
        </w:rPr>
      </w:pPr>
      <w:r>
        <w:rPr>
          <w:rFonts w:hint="eastAsia" w:ascii="宋体" w:hAnsi="宋体"/>
          <w:sz w:val="24"/>
          <w:szCs w:val="24"/>
        </w:rPr>
        <w:t>供应商应按竞争性磋商文件第六章响应文件组成和格式填写所报货物</w:t>
      </w:r>
      <w:r>
        <w:rPr>
          <w:rFonts w:ascii="宋体" w:hAnsi="宋体"/>
          <w:sz w:val="24"/>
          <w:szCs w:val="24"/>
        </w:rPr>
        <w:t>/</w:t>
      </w:r>
      <w:r>
        <w:rPr>
          <w:rFonts w:hint="eastAsia" w:ascii="宋体" w:hAnsi="宋体"/>
          <w:sz w:val="24"/>
          <w:szCs w:val="24"/>
        </w:rPr>
        <w:t>服务的单价和总价，报价如果出现单价与总价不符的，以单价为准。竞争性磋商文件对每种货物</w:t>
      </w:r>
      <w:r>
        <w:rPr>
          <w:rFonts w:ascii="宋体" w:hAnsi="宋体"/>
          <w:sz w:val="24"/>
          <w:szCs w:val="24"/>
        </w:rPr>
        <w:t>/</w:t>
      </w:r>
      <w:r>
        <w:rPr>
          <w:rFonts w:hint="eastAsia" w:ascii="宋体" w:hAnsi="宋体"/>
          <w:sz w:val="24"/>
          <w:szCs w:val="24"/>
        </w:rPr>
        <w:t>服务每次只允许有一个报价方案，采购代理机构不接受有任何选择的报价。</w:t>
      </w:r>
    </w:p>
    <w:p>
      <w:pPr>
        <w:numPr>
          <w:ilvl w:val="1"/>
          <w:numId w:val="2"/>
        </w:numPr>
        <w:tabs>
          <w:tab w:val="left" w:pos="8640"/>
        </w:tabs>
        <w:spacing w:line="360" w:lineRule="auto"/>
        <w:ind w:right="281" w:rightChars="134"/>
        <w:rPr>
          <w:rFonts w:ascii="宋体" w:hAnsi="宋体"/>
          <w:sz w:val="24"/>
          <w:szCs w:val="24"/>
        </w:rPr>
      </w:pPr>
      <w:r>
        <w:rPr>
          <w:rFonts w:hint="eastAsia" w:ascii="宋体" w:hAnsi="宋体"/>
          <w:sz w:val="24"/>
          <w:szCs w:val="24"/>
        </w:rPr>
        <w:t>报价表中的所报总价应已包括供应商若最终成交，应缴纳的与所报货物和服务相关的所有税费。</w:t>
      </w:r>
    </w:p>
    <w:p>
      <w:pPr>
        <w:numPr>
          <w:ilvl w:val="1"/>
          <w:numId w:val="2"/>
        </w:numPr>
        <w:tabs>
          <w:tab w:val="left" w:pos="8640"/>
        </w:tabs>
        <w:spacing w:line="360" w:lineRule="auto"/>
        <w:ind w:right="281" w:rightChars="134"/>
        <w:rPr>
          <w:rFonts w:ascii="宋体" w:hAnsi="宋体"/>
          <w:sz w:val="24"/>
          <w:szCs w:val="24"/>
        </w:rPr>
      </w:pPr>
      <w:r>
        <w:rPr>
          <w:rFonts w:hint="eastAsia" w:ascii="宋体" w:hAnsi="宋体"/>
          <w:sz w:val="24"/>
          <w:szCs w:val="24"/>
        </w:rPr>
        <w:t>报价总价包括供应商为完成本项目所发生的一切费用。供应商估算错误或漏项的风险均由供应商承担。</w:t>
      </w:r>
    </w:p>
    <w:p>
      <w:pPr>
        <w:numPr>
          <w:ilvl w:val="1"/>
          <w:numId w:val="2"/>
        </w:numPr>
        <w:tabs>
          <w:tab w:val="left" w:pos="8640"/>
        </w:tabs>
        <w:spacing w:line="360" w:lineRule="auto"/>
        <w:ind w:right="281" w:rightChars="134"/>
        <w:rPr>
          <w:rFonts w:ascii="宋体" w:hAnsi="宋体"/>
          <w:sz w:val="24"/>
          <w:szCs w:val="24"/>
        </w:rPr>
      </w:pPr>
      <w:r>
        <w:rPr>
          <w:rFonts w:hint="eastAsia" w:ascii="宋体" w:hAnsi="宋体"/>
          <w:sz w:val="24"/>
          <w:szCs w:val="24"/>
        </w:rPr>
        <w:t>供应商按上述9.1款要求填写报价，但不限制采购人以其它方式签订合同的权力。</w:t>
      </w:r>
    </w:p>
    <w:p>
      <w:pPr>
        <w:numPr>
          <w:ilvl w:val="1"/>
          <w:numId w:val="2"/>
        </w:numPr>
        <w:tabs>
          <w:tab w:val="left" w:pos="8640"/>
        </w:tabs>
        <w:spacing w:line="360" w:lineRule="auto"/>
        <w:ind w:right="281" w:rightChars="134"/>
        <w:rPr>
          <w:rFonts w:ascii="宋体" w:hAnsi="宋体"/>
          <w:sz w:val="24"/>
          <w:szCs w:val="24"/>
        </w:rPr>
      </w:pPr>
      <w:r>
        <w:rPr>
          <w:rFonts w:hint="eastAsia" w:ascii="宋体" w:hAnsi="宋体"/>
          <w:sz w:val="24"/>
          <w:szCs w:val="24"/>
        </w:rPr>
        <w:t>供应商应对竞争性磋商文件技术需求书中的所有项目进行应答和报价，不得分拆只选择部分项目报价；供应商未经采购人同意不得将本项目分包。</w:t>
      </w:r>
    </w:p>
    <w:p>
      <w:pPr>
        <w:pStyle w:val="4"/>
        <w:rPr>
          <w:rFonts w:ascii="宋体" w:hAnsi="宋体"/>
        </w:rPr>
      </w:pPr>
      <w:bookmarkStart w:id="65" w:name="_Toc146043875"/>
      <w:r>
        <w:rPr>
          <w:rFonts w:hint="eastAsia" w:ascii="宋体" w:hAnsi="宋体"/>
        </w:rPr>
        <w:t>10. 报价币种</w:t>
      </w:r>
      <w:bookmarkEnd w:id="65"/>
    </w:p>
    <w:p>
      <w:pPr>
        <w:tabs>
          <w:tab w:val="left" w:pos="8640"/>
        </w:tabs>
        <w:spacing w:line="360" w:lineRule="auto"/>
        <w:ind w:left="720" w:right="281" w:rightChars="134" w:hanging="720" w:hangingChars="300"/>
        <w:rPr>
          <w:rFonts w:ascii="宋体" w:hAnsi="宋体"/>
          <w:sz w:val="24"/>
          <w:szCs w:val="24"/>
        </w:rPr>
      </w:pPr>
      <w:r>
        <w:rPr>
          <w:rFonts w:hint="eastAsia" w:ascii="宋体" w:hAnsi="宋体"/>
          <w:sz w:val="24"/>
          <w:szCs w:val="24"/>
        </w:rPr>
        <w:t>10.1 响应文件、报价表中的报价一律用人民币填报。</w:t>
      </w:r>
    </w:p>
    <w:p>
      <w:pPr>
        <w:pStyle w:val="4"/>
        <w:rPr>
          <w:rFonts w:ascii="宋体" w:hAnsi="宋体"/>
        </w:rPr>
      </w:pPr>
      <w:bookmarkStart w:id="66" w:name="_Toc146043876"/>
      <w:r>
        <w:rPr>
          <w:rFonts w:hint="eastAsia" w:ascii="宋体" w:hAnsi="宋体"/>
        </w:rPr>
        <w:t>11. 磋商保证金</w:t>
      </w:r>
      <w:bookmarkEnd w:id="66"/>
      <w:r>
        <w:rPr>
          <w:rFonts w:hint="eastAsia" w:ascii="宋体" w:hAnsi="宋体"/>
        </w:rPr>
        <w:t xml:space="preserve">  </w:t>
      </w:r>
    </w:p>
    <w:p>
      <w:pPr>
        <w:tabs>
          <w:tab w:val="left" w:pos="8640"/>
        </w:tabs>
        <w:spacing w:line="360" w:lineRule="auto"/>
        <w:ind w:left="737" w:right="281" w:rightChars="134" w:hanging="736" w:hangingChars="307"/>
        <w:rPr>
          <w:rFonts w:ascii="宋体" w:hAnsi="宋体"/>
          <w:sz w:val="24"/>
          <w:szCs w:val="24"/>
        </w:rPr>
      </w:pPr>
      <w:r>
        <w:rPr>
          <w:rFonts w:hint="eastAsia" w:ascii="宋体" w:hAnsi="宋体"/>
          <w:sz w:val="24"/>
          <w:szCs w:val="24"/>
        </w:rPr>
        <w:t>11.1  供应商应按“供应商须知资料表”中的要求交纳磋商保证金，并作为其响应文件的一部分。</w:t>
      </w:r>
    </w:p>
    <w:p>
      <w:pPr>
        <w:tabs>
          <w:tab w:val="left" w:pos="8640"/>
        </w:tabs>
        <w:spacing w:line="360" w:lineRule="auto"/>
        <w:ind w:left="720" w:right="281" w:rightChars="134" w:hanging="720" w:hangingChars="300"/>
        <w:rPr>
          <w:rFonts w:ascii="宋体" w:hAnsi="宋体"/>
          <w:sz w:val="24"/>
          <w:szCs w:val="24"/>
        </w:rPr>
      </w:pPr>
      <w:r>
        <w:rPr>
          <w:rFonts w:hint="eastAsia" w:ascii="宋体" w:hAnsi="宋体"/>
          <w:sz w:val="24"/>
          <w:szCs w:val="24"/>
        </w:rPr>
        <w:t>11.2  磋商保证金是为了保护采购代理机构和采购人免遭因供应商的原因而蒙受的损失，采购代理机构和采购人在因供应商的行为受到损害时可根据本须知第11.7条的规定没收供应商的磋商保证金。</w:t>
      </w:r>
    </w:p>
    <w:p>
      <w:pPr>
        <w:tabs>
          <w:tab w:val="left" w:pos="8640"/>
        </w:tabs>
        <w:spacing w:line="360" w:lineRule="auto"/>
        <w:ind w:right="281" w:rightChars="134"/>
        <w:rPr>
          <w:rFonts w:ascii="宋体" w:hAnsi="宋体"/>
          <w:sz w:val="24"/>
          <w:szCs w:val="24"/>
        </w:rPr>
      </w:pPr>
      <w:r>
        <w:rPr>
          <w:rFonts w:hint="eastAsia" w:ascii="宋体" w:hAnsi="宋体"/>
          <w:sz w:val="24"/>
          <w:szCs w:val="24"/>
        </w:rPr>
        <w:t>11.3  磋商保证金可采用下列任何一种形式：</w:t>
      </w:r>
    </w:p>
    <w:p>
      <w:pPr>
        <w:spacing w:line="360" w:lineRule="auto"/>
        <w:ind w:left="708" w:leftChars="337"/>
        <w:rPr>
          <w:rFonts w:ascii="宋体" w:hAnsi="宋体"/>
          <w:sz w:val="24"/>
          <w:szCs w:val="24"/>
        </w:rPr>
      </w:pPr>
      <w:r>
        <w:rPr>
          <w:rFonts w:ascii="宋体" w:hAnsi="宋体"/>
          <w:sz w:val="24"/>
          <w:szCs w:val="24"/>
        </w:rPr>
        <w:t>电汇（采用电汇必须保证在</w:t>
      </w:r>
      <w:r>
        <w:rPr>
          <w:rFonts w:hint="eastAsia" w:ascii="宋体" w:hAnsi="宋体"/>
          <w:sz w:val="24"/>
          <w:szCs w:val="24"/>
        </w:rPr>
        <w:t>竞争性磋商文件</w:t>
      </w:r>
      <w:r>
        <w:rPr>
          <w:rFonts w:ascii="宋体" w:hAnsi="宋体"/>
          <w:sz w:val="24"/>
          <w:szCs w:val="24"/>
        </w:rPr>
        <w:t>递交截止时间前汇到采购代理机构账户。以采购代理机构银行通知确认到账为准；如至</w:t>
      </w:r>
      <w:r>
        <w:rPr>
          <w:rFonts w:hint="eastAsia" w:ascii="宋体" w:hAnsi="宋体"/>
          <w:sz w:val="24"/>
          <w:szCs w:val="24"/>
        </w:rPr>
        <w:t>磋商文件</w:t>
      </w:r>
      <w:r>
        <w:rPr>
          <w:rFonts w:ascii="宋体" w:hAnsi="宋体"/>
          <w:sz w:val="24"/>
          <w:szCs w:val="24"/>
        </w:rPr>
        <w:t>递交截止时间仍未得到采购代理机构的银行确认，将被视为</w:t>
      </w:r>
      <w:r>
        <w:rPr>
          <w:rFonts w:hint="eastAsia" w:ascii="宋体" w:hAnsi="宋体"/>
          <w:sz w:val="24"/>
          <w:szCs w:val="24"/>
        </w:rPr>
        <w:t>供应商</w:t>
      </w:r>
      <w:r>
        <w:rPr>
          <w:rFonts w:ascii="宋体" w:hAnsi="宋体"/>
          <w:sz w:val="24"/>
          <w:szCs w:val="24"/>
        </w:rPr>
        <w:t>未提供保证金）</w:t>
      </w:r>
      <w:r>
        <w:rPr>
          <w:rFonts w:hint="eastAsia" w:ascii="宋体" w:hAnsi="宋体"/>
          <w:sz w:val="24"/>
          <w:szCs w:val="24"/>
        </w:rPr>
        <w:t>、</w:t>
      </w:r>
      <w:r>
        <w:rPr>
          <w:rFonts w:ascii="宋体" w:hAnsi="宋体"/>
          <w:sz w:val="24"/>
          <w:szCs w:val="24"/>
        </w:rPr>
        <w:t>支票</w:t>
      </w:r>
      <w:r>
        <w:rPr>
          <w:rFonts w:hint="eastAsia" w:ascii="宋体" w:hAnsi="宋体"/>
          <w:sz w:val="24"/>
          <w:szCs w:val="24"/>
        </w:rPr>
        <w:t>、银行保函等非现金形式</w:t>
      </w:r>
      <w:r>
        <w:rPr>
          <w:rFonts w:ascii="宋体" w:hAnsi="宋体"/>
          <w:sz w:val="24"/>
          <w:szCs w:val="24"/>
        </w:rPr>
        <w:t>。</w:t>
      </w:r>
    </w:p>
    <w:p>
      <w:pPr>
        <w:tabs>
          <w:tab w:val="left" w:pos="8640"/>
        </w:tabs>
        <w:spacing w:line="360" w:lineRule="auto"/>
        <w:ind w:left="720" w:right="281" w:rightChars="134" w:hanging="720" w:hangingChars="300"/>
        <w:rPr>
          <w:rFonts w:ascii="宋体" w:hAnsi="宋体"/>
          <w:sz w:val="24"/>
          <w:szCs w:val="24"/>
        </w:rPr>
      </w:pPr>
      <w:r>
        <w:rPr>
          <w:rFonts w:hint="eastAsia" w:ascii="宋体" w:hAnsi="宋体"/>
          <w:sz w:val="24"/>
          <w:szCs w:val="24"/>
        </w:rPr>
        <w:t>11.4  凡没有根据供应商须知第11.1和11.3条的规定随响应文件递交磋商保证金的，磋商小组按供应商须知资料表的有关规定视其为非响应性磋商文件并拒绝与其磋商。</w:t>
      </w:r>
    </w:p>
    <w:p>
      <w:pPr>
        <w:tabs>
          <w:tab w:val="left" w:pos="8640"/>
        </w:tabs>
        <w:spacing w:line="360" w:lineRule="auto"/>
        <w:ind w:left="720" w:right="281" w:rightChars="134" w:hanging="720" w:hangingChars="300"/>
        <w:rPr>
          <w:rFonts w:ascii="宋体" w:hAnsi="宋体"/>
          <w:sz w:val="24"/>
          <w:szCs w:val="24"/>
        </w:rPr>
      </w:pPr>
      <w:r>
        <w:rPr>
          <w:rFonts w:hint="eastAsia" w:ascii="宋体" w:hAnsi="宋体"/>
          <w:sz w:val="24"/>
          <w:szCs w:val="24"/>
        </w:rPr>
        <w:t>11.5  未能成交的供应商的磋商保证金，将在采购代理机构向供应商发出成交通知书后5个工作日内退还未成交供应商。</w:t>
      </w:r>
    </w:p>
    <w:p>
      <w:pPr>
        <w:tabs>
          <w:tab w:val="left" w:pos="8640"/>
        </w:tabs>
        <w:spacing w:line="360" w:lineRule="auto"/>
        <w:ind w:left="720" w:right="281" w:rightChars="134" w:hanging="720" w:hangingChars="300"/>
        <w:rPr>
          <w:rFonts w:ascii="宋体" w:hAnsi="宋体"/>
          <w:sz w:val="24"/>
          <w:szCs w:val="24"/>
        </w:rPr>
      </w:pPr>
      <w:r>
        <w:rPr>
          <w:rFonts w:hint="eastAsia" w:ascii="宋体" w:hAnsi="宋体"/>
          <w:sz w:val="24"/>
          <w:szCs w:val="24"/>
        </w:rPr>
        <w:t>11.6  成交供应商的磋商保证金，在供应商按规定签订合同后5个工作日内予以退还。</w:t>
      </w:r>
    </w:p>
    <w:p>
      <w:pPr>
        <w:tabs>
          <w:tab w:val="left" w:pos="8640"/>
        </w:tabs>
        <w:spacing w:line="360" w:lineRule="auto"/>
        <w:ind w:right="281" w:rightChars="134"/>
        <w:rPr>
          <w:rFonts w:ascii="宋体" w:hAnsi="宋体"/>
          <w:sz w:val="24"/>
          <w:szCs w:val="24"/>
        </w:rPr>
      </w:pPr>
      <w:r>
        <w:rPr>
          <w:rFonts w:hint="eastAsia" w:ascii="宋体" w:hAnsi="宋体"/>
          <w:sz w:val="24"/>
          <w:szCs w:val="24"/>
        </w:rPr>
        <w:t>11.7  下列任何情况发生时，磋商保证金将被没收：</w:t>
      </w:r>
    </w:p>
    <w:p>
      <w:pPr>
        <w:tabs>
          <w:tab w:val="left" w:pos="8640"/>
        </w:tabs>
        <w:spacing w:line="360" w:lineRule="auto"/>
        <w:ind w:left="719" w:leftChars="228" w:right="281" w:rightChars="134" w:hanging="240" w:hangingChars="100"/>
        <w:rPr>
          <w:rFonts w:ascii="宋体" w:hAnsi="宋体"/>
          <w:sz w:val="24"/>
          <w:szCs w:val="24"/>
        </w:rPr>
      </w:pPr>
      <w:r>
        <w:rPr>
          <w:rFonts w:hint="eastAsia" w:ascii="宋体" w:hAnsi="宋体"/>
          <w:sz w:val="24"/>
          <w:szCs w:val="24"/>
        </w:rPr>
        <w:t>（1）供应商在提交响应文件截止时间后撤回响应文件的；</w:t>
      </w:r>
    </w:p>
    <w:p>
      <w:pPr>
        <w:tabs>
          <w:tab w:val="left" w:pos="8640"/>
        </w:tabs>
        <w:spacing w:line="360" w:lineRule="auto"/>
        <w:ind w:left="720" w:right="281" w:rightChars="134" w:hanging="720"/>
        <w:rPr>
          <w:rFonts w:ascii="宋体" w:hAnsi="宋体"/>
          <w:sz w:val="24"/>
          <w:szCs w:val="24"/>
        </w:rPr>
      </w:pPr>
      <w:r>
        <w:rPr>
          <w:rFonts w:hint="eastAsia" w:ascii="宋体" w:hAnsi="宋体"/>
          <w:sz w:val="24"/>
          <w:szCs w:val="24"/>
        </w:rPr>
        <w:t>　　（2）供应商在响应文件中提供虚假材料的；</w:t>
      </w:r>
    </w:p>
    <w:p>
      <w:pPr>
        <w:tabs>
          <w:tab w:val="left" w:pos="8640"/>
        </w:tabs>
        <w:spacing w:line="360" w:lineRule="auto"/>
        <w:ind w:left="720" w:right="281" w:rightChars="134" w:hanging="720"/>
        <w:rPr>
          <w:rFonts w:ascii="宋体" w:hAnsi="宋体"/>
          <w:sz w:val="24"/>
          <w:szCs w:val="24"/>
        </w:rPr>
      </w:pPr>
      <w:r>
        <w:rPr>
          <w:rFonts w:hint="eastAsia" w:ascii="宋体" w:hAnsi="宋体"/>
          <w:sz w:val="24"/>
          <w:szCs w:val="24"/>
        </w:rPr>
        <w:t>　　（3）除因不可抗力或磋商文件认可的情形以外，成交供应商不与采购人签订合同的；</w:t>
      </w:r>
    </w:p>
    <w:p>
      <w:pPr>
        <w:tabs>
          <w:tab w:val="left" w:pos="8640"/>
        </w:tabs>
        <w:spacing w:line="360" w:lineRule="auto"/>
        <w:ind w:left="720" w:right="281" w:rightChars="134" w:hanging="720"/>
        <w:rPr>
          <w:rFonts w:ascii="宋体" w:hAnsi="宋体"/>
          <w:sz w:val="24"/>
          <w:szCs w:val="24"/>
        </w:rPr>
      </w:pPr>
      <w:r>
        <w:rPr>
          <w:rFonts w:hint="eastAsia" w:ascii="宋体" w:hAnsi="宋体"/>
          <w:sz w:val="24"/>
          <w:szCs w:val="24"/>
        </w:rPr>
        <w:t>　　（4）供应商与采购人、其他供应商或者采购代理机构恶意串通的；</w:t>
      </w:r>
    </w:p>
    <w:p>
      <w:pPr>
        <w:tabs>
          <w:tab w:val="left" w:pos="8640"/>
        </w:tabs>
        <w:spacing w:line="360" w:lineRule="auto"/>
        <w:ind w:left="720" w:right="281" w:rightChars="134" w:hanging="720"/>
        <w:rPr>
          <w:rFonts w:ascii="宋体" w:hAnsi="宋体"/>
          <w:sz w:val="24"/>
          <w:szCs w:val="24"/>
        </w:rPr>
      </w:pPr>
      <w:r>
        <w:rPr>
          <w:rFonts w:hint="eastAsia" w:ascii="宋体" w:hAnsi="宋体"/>
          <w:sz w:val="24"/>
          <w:szCs w:val="24"/>
        </w:rPr>
        <w:t>　　（5）磋商文件规定的其他情形。</w:t>
      </w:r>
    </w:p>
    <w:p>
      <w:pPr>
        <w:pStyle w:val="4"/>
        <w:rPr>
          <w:rFonts w:ascii="宋体" w:hAnsi="宋体"/>
        </w:rPr>
      </w:pPr>
      <w:bookmarkStart w:id="67" w:name="_Toc146043877"/>
      <w:r>
        <w:rPr>
          <w:rFonts w:hint="eastAsia" w:ascii="宋体" w:hAnsi="宋体"/>
        </w:rPr>
        <w:t>12. 响应文件有效期</w:t>
      </w:r>
      <w:bookmarkEnd w:id="67"/>
    </w:p>
    <w:p>
      <w:pPr>
        <w:tabs>
          <w:tab w:val="left" w:pos="8640"/>
        </w:tabs>
        <w:spacing w:line="360" w:lineRule="auto"/>
        <w:ind w:left="720" w:right="281" w:rightChars="134" w:hanging="720" w:hangingChars="300"/>
        <w:rPr>
          <w:rFonts w:ascii="宋体" w:hAnsi="宋体"/>
          <w:sz w:val="24"/>
          <w:szCs w:val="24"/>
        </w:rPr>
      </w:pPr>
      <w:r>
        <w:rPr>
          <w:rFonts w:hint="eastAsia" w:ascii="宋体" w:hAnsi="宋体"/>
          <w:sz w:val="24"/>
          <w:szCs w:val="24"/>
        </w:rPr>
        <w:t>12.1  响应文件有效期应自本须知规定的响应文件递交截至日起，并在“供应商须知资料表”中所述时期内保持有效。响应文件有效期不足的将被予以拒绝。</w:t>
      </w:r>
    </w:p>
    <w:p>
      <w:pPr>
        <w:pStyle w:val="3"/>
      </w:pPr>
      <w:bookmarkStart w:id="68" w:name="_Toc146043878"/>
      <w:r>
        <w:rPr>
          <w:rFonts w:hint="eastAsia"/>
        </w:rPr>
        <w:t>四、响应文件的递交</w:t>
      </w:r>
      <w:bookmarkEnd w:id="68"/>
    </w:p>
    <w:p>
      <w:pPr>
        <w:pStyle w:val="4"/>
        <w:rPr>
          <w:rFonts w:ascii="宋体" w:hAnsi="宋体"/>
        </w:rPr>
      </w:pPr>
      <w:bookmarkStart w:id="69" w:name="_Toc146043879"/>
      <w:r>
        <w:rPr>
          <w:rFonts w:hint="eastAsia" w:ascii="宋体" w:hAnsi="宋体"/>
        </w:rPr>
        <w:t>13. 响应文件递交截止期</w:t>
      </w:r>
      <w:bookmarkEnd w:id="69"/>
    </w:p>
    <w:p>
      <w:pPr>
        <w:tabs>
          <w:tab w:val="left" w:pos="8640"/>
        </w:tabs>
        <w:spacing w:line="360" w:lineRule="auto"/>
        <w:ind w:left="720" w:right="281" w:rightChars="134" w:hanging="720" w:hangingChars="300"/>
        <w:rPr>
          <w:rFonts w:ascii="宋体" w:hAnsi="宋体" w:cs="Arial"/>
          <w:sz w:val="24"/>
          <w:szCs w:val="24"/>
        </w:rPr>
      </w:pPr>
      <w:r>
        <w:rPr>
          <w:rFonts w:hint="eastAsia" w:ascii="宋体" w:hAnsi="宋体" w:cs="Arial"/>
          <w:sz w:val="24"/>
          <w:szCs w:val="24"/>
        </w:rPr>
        <w:t>13.1  供应商应于“供应商须知资料表”中规定的截止日期和时间前将</w:t>
      </w:r>
      <w:r>
        <w:rPr>
          <w:rFonts w:hint="eastAsia" w:ascii="宋体" w:hAnsi="宋体"/>
          <w:sz w:val="24"/>
          <w:szCs w:val="24"/>
        </w:rPr>
        <w:t>响应</w:t>
      </w:r>
      <w:r>
        <w:rPr>
          <w:rFonts w:hint="eastAsia" w:ascii="宋体" w:hAnsi="宋体" w:cs="Arial"/>
          <w:sz w:val="24"/>
          <w:szCs w:val="24"/>
        </w:rPr>
        <w:t>文件递交至“供应商须知资料表”中指明的地址。</w:t>
      </w:r>
    </w:p>
    <w:p>
      <w:pPr>
        <w:pStyle w:val="3"/>
      </w:pPr>
      <w:bookmarkStart w:id="70" w:name="_Toc146043880"/>
      <w:r>
        <w:rPr>
          <w:rFonts w:hint="eastAsia"/>
        </w:rPr>
        <w:t>五、磋商</w:t>
      </w:r>
      <w:bookmarkEnd w:id="70"/>
    </w:p>
    <w:p>
      <w:pPr>
        <w:pStyle w:val="4"/>
        <w:rPr>
          <w:rFonts w:ascii="宋体" w:hAnsi="宋体"/>
        </w:rPr>
      </w:pPr>
      <w:bookmarkStart w:id="71" w:name="_Toc146043881"/>
      <w:r>
        <w:rPr>
          <w:rFonts w:hint="eastAsia" w:ascii="宋体" w:hAnsi="宋体"/>
        </w:rPr>
        <w:t>14. 磋商小组</w:t>
      </w:r>
      <w:bookmarkEnd w:id="71"/>
    </w:p>
    <w:p>
      <w:pPr>
        <w:tabs>
          <w:tab w:val="left" w:pos="8640"/>
        </w:tabs>
        <w:spacing w:line="360" w:lineRule="auto"/>
        <w:ind w:left="709" w:right="281" w:rightChars="134" w:hanging="709"/>
        <w:rPr>
          <w:rFonts w:ascii="宋体" w:hAnsi="宋体" w:cs="宋体"/>
          <w:sz w:val="24"/>
          <w:szCs w:val="24"/>
        </w:rPr>
      </w:pPr>
      <w:r>
        <w:rPr>
          <w:rFonts w:hint="eastAsia" w:ascii="宋体" w:hAnsi="宋体" w:cs="宋体"/>
          <w:sz w:val="24"/>
          <w:szCs w:val="24"/>
        </w:rPr>
        <w:t>1</w:t>
      </w:r>
      <w:r>
        <w:rPr>
          <w:rFonts w:ascii="宋体" w:hAnsi="宋体" w:cs="宋体"/>
          <w:sz w:val="24"/>
          <w:szCs w:val="24"/>
        </w:rPr>
        <w:t>4.1</w:t>
      </w:r>
      <w:r>
        <w:rPr>
          <w:rFonts w:hint="eastAsia" w:ascii="宋体" w:hAnsi="宋体" w:cs="宋体"/>
          <w:sz w:val="24"/>
          <w:szCs w:val="24"/>
        </w:rPr>
        <w:t>采购代理机构根据有关法律法规和本磋商文件的规定，结合本采购项目专业要求组建磋商小组，对具备实质性响应的响应文件进行评估和比较。磋商小组负责评审工作，并独立履行下列职责：审查响应文件是否符合磋商文件要求，并做出评价；要求供应商对响应文件有关事项做出澄清；并负责推荐成交候选人。采购代理机构协助磋商小组工作。</w:t>
      </w:r>
    </w:p>
    <w:p>
      <w:pPr>
        <w:pStyle w:val="4"/>
        <w:rPr>
          <w:rFonts w:ascii="宋体" w:hAnsi="宋体"/>
        </w:rPr>
      </w:pPr>
      <w:bookmarkStart w:id="72" w:name="_Toc146043882"/>
      <w:r>
        <w:rPr>
          <w:rFonts w:ascii="宋体" w:hAnsi="宋体"/>
        </w:rPr>
        <w:t xml:space="preserve">15. </w:t>
      </w:r>
      <w:r>
        <w:rPr>
          <w:rFonts w:hint="eastAsia" w:ascii="宋体" w:hAnsi="宋体"/>
        </w:rPr>
        <w:t>磋商</w:t>
      </w:r>
      <w:r>
        <w:rPr>
          <w:rFonts w:ascii="宋体" w:hAnsi="宋体"/>
        </w:rPr>
        <w:t>时间和顺序</w:t>
      </w:r>
      <w:bookmarkEnd w:id="72"/>
      <w:r>
        <w:rPr>
          <w:rFonts w:ascii="宋体" w:hAnsi="宋体"/>
        </w:rPr>
        <w:tab/>
      </w:r>
    </w:p>
    <w:p>
      <w:pPr>
        <w:tabs>
          <w:tab w:val="left" w:pos="8640"/>
        </w:tabs>
        <w:spacing w:line="360" w:lineRule="auto"/>
        <w:ind w:left="566" w:leftChars="1" w:right="281" w:rightChars="134" w:hanging="564" w:hangingChars="235"/>
        <w:rPr>
          <w:rFonts w:ascii="宋体" w:hAnsi="宋体" w:cs="宋体"/>
          <w:sz w:val="24"/>
          <w:szCs w:val="24"/>
        </w:rPr>
      </w:pPr>
      <w:r>
        <w:rPr>
          <w:rFonts w:ascii="宋体" w:hAnsi="宋体" w:cs="宋体"/>
          <w:sz w:val="24"/>
          <w:szCs w:val="24"/>
        </w:rPr>
        <w:t>15.1采购代理机构将</w:t>
      </w:r>
      <w:r>
        <w:rPr>
          <w:rFonts w:hint="eastAsia" w:ascii="宋体" w:hAnsi="宋体" w:cs="宋体"/>
          <w:sz w:val="24"/>
          <w:szCs w:val="24"/>
        </w:rPr>
        <w:t>按采购邀请中规定的日期和地点组织磋商，供应商的法定代表人或其委托代理人应准时参加。</w:t>
      </w:r>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15.2</w:t>
      </w:r>
      <w:r>
        <w:rPr>
          <w:rFonts w:hint="eastAsia" w:ascii="宋体" w:hAnsi="宋体" w:cs="宋体"/>
          <w:sz w:val="24"/>
          <w:szCs w:val="24"/>
        </w:rPr>
        <w:t>磋商小组将与进入磋商的供应商依照递交磋商文件次序分别进行一对一磋商。磋商轮次由竞争性磋商小组现场决定。供应商的磋商代表应按照磋商小组通知的时间和地点参加磋商，为加快磋商进程，要求参加磋商的供应商代表已获得充分授权。参加磋商的供应商为法定代表人或其授权代表（须随身携带本人身份证明）。</w:t>
      </w:r>
    </w:p>
    <w:p>
      <w:pPr>
        <w:pStyle w:val="4"/>
        <w:rPr>
          <w:rFonts w:ascii="宋体" w:hAnsi="宋体"/>
        </w:rPr>
      </w:pPr>
      <w:bookmarkStart w:id="73" w:name="_Toc146043883"/>
      <w:r>
        <w:rPr>
          <w:rFonts w:hint="eastAsia" w:ascii="宋体" w:hAnsi="宋体"/>
        </w:rPr>
        <w:t>16</w:t>
      </w:r>
      <w:r>
        <w:rPr>
          <w:rFonts w:ascii="宋体" w:hAnsi="宋体"/>
        </w:rPr>
        <w:t>.</w:t>
      </w:r>
      <w:r>
        <w:rPr>
          <w:rFonts w:hint="eastAsia" w:ascii="宋体" w:hAnsi="宋体"/>
        </w:rPr>
        <w:t>对供应商</w:t>
      </w:r>
      <w:r>
        <w:rPr>
          <w:rFonts w:ascii="宋体" w:hAnsi="宋体"/>
        </w:rPr>
        <w:t>的资格审查</w:t>
      </w:r>
      <w:bookmarkEnd w:id="73"/>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16</w:t>
      </w:r>
      <w:r>
        <w:rPr>
          <w:rFonts w:hint="eastAsia" w:ascii="宋体" w:hAnsi="宋体" w:cs="宋体"/>
          <w:sz w:val="24"/>
          <w:szCs w:val="24"/>
        </w:rPr>
        <w:t>.1</w:t>
      </w:r>
      <w:r>
        <w:rPr>
          <w:rFonts w:ascii="宋体" w:hAnsi="宋体" w:cs="宋体"/>
          <w:sz w:val="24"/>
          <w:szCs w:val="24"/>
        </w:rPr>
        <w:t xml:space="preserve"> </w:t>
      </w:r>
      <w:r>
        <w:rPr>
          <w:rFonts w:hint="eastAsia" w:ascii="宋体" w:hAnsi="宋体" w:cs="宋体"/>
          <w:sz w:val="24"/>
          <w:szCs w:val="24"/>
        </w:rPr>
        <w:t>磋商小组依据法律法规和磋商文件的规定，对响应文件中的资格证明文件等进行审查，以确定供应商是否具备响应资格。</w:t>
      </w:r>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16</w:t>
      </w:r>
      <w:r>
        <w:rPr>
          <w:rFonts w:hint="eastAsia" w:ascii="宋体" w:hAnsi="宋体" w:cs="宋体"/>
          <w:sz w:val="24"/>
          <w:szCs w:val="24"/>
        </w:rPr>
        <w:t>.2采购代理机构在磋商文件规定的信用记录查询截止时点（即文件递交截止时间后），通过“信用中国”网站（www.creditchina.gov.cn）、中国政府采购网（www.ccgp.gov.cn）查询供应商信用记录，并将信用查询记录和证据通过网页截图的方式进行留存，随采购文件一起存档。</w:t>
      </w:r>
    </w:p>
    <w:p>
      <w:pPr>
        <w:spacing w:line="360" w:lineRule="auto"/>
        <w:rPr>
          <w:rFonts w:ascii="宋体" w:hAnsi="宋体"/>
          <w:sz w:val="24"/>
        </w:rPr>
      </w:pPr>
      <w:r>
        <w:rPr>
          <w:rFonts w:ascii="宋体" w:hAnsi="宋体"/>
          <w:sz w:val="24"/>
        </w:rPr>
        <w:t xml:space="preserve">16.3 </w:t>
      </w:r>
      <w:r>
        <w:rPr>
          <w:rFonts w:hint="eastAsia" w:ascii="宋体" w:hAnsi="宋体"/>
          <w:sz w:val="24"/>
        </w:rPr>
        <w:t>响应文件属下列情况之一的，应当在资格性检查时按照无效响应处理：</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1</w:t>
      </w:r>
      <w:r>
        <w:rPr>
          <w:rFonts w:hint="eastAsia" w:ascii="宋体" w:hAnsi="宋体"/>
          <w:sz w:val="24"/>
        </w:rPr>
        <w:t>）供应商不满足磋商文件对供应商资格要求的，包括采购人或代理机构磋商当天通过“信用中国”网站（www.creditchina.gov.cn）和中国政府采购网（www.ccgp.gov.cn）等进行查询，发现有被列入失信被执行人、重大税收违法案件当事人、政府采购严重违法失信行为记录名单供应商的（保留查询记录网页打印件）；</w:t>
      </w:r>
    </w:p>
    <w:p>
      <w:pPr>
        <w:spacing w:line="360" w:lineRule="auto"/>
        <w:ind w:left="0" w:leftChars="-67" w:hanging="141" w:hangingChars="59"/>
        <w:rPr>
          <w:rFonts w:ascii="宋体" w:hAnsi="宋体"/>
          <w:sz w:val="24"/>
        </w:rPr>
      </w:pPr>
      <w:r>
        <w:rPr>
          <w:rFonts w:ascii="宋体" w:hAnsi="宋体"/>
          <w:sz w:val="24"/>
        </w:rPr>
        <w:t>   2</w:t>
      </w:r>
      <w:r>
        <w:rPr>
          <w:rFonts w:hint="eastAsia" w:ascii="宋体" w:hAnsi="宋体"/>
          <w:sz w:val="24"/>
        </w:rPr>
        <w:t>）供应商资格证明文件不全或不满足磋商文件要求的；</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3</w:t>
      </w:r>
      <w:r>
        <w:rPr>
          <w:rFonts w:hint="eastAsia" w:ascii="宋体" w:hAnsi="宋体"/>
          <w:sz w:val="24"/>
        </w:rPr>
        <w:t>）其他不符合资格性要求的情形。</w:t>
      </w:r>
    </w:p>
    <w:p>
      <w:pPr>
        <w:pStyle w:val="4"/>
        <w:rPr>
          <w:rFonts w:ascii="宋体" w:hAnsi="宋体"/>
        </w:rPr>
      </w:pPr>
      <w:bookmarkStart w:id="74" w:name="_Toc146043884"/>
      <w:r>
        <w:rPr>
          <w:rFonts w:ascii="宋体" w:hAnsi="宋体"/>
        </w:rPr>
        <w:t>17.</w:t>
      </w:r>
      <w:r>
        <w:rPr>
          <w:rFonts w:hint="eastAsia" w:ascii="宋体" w:hAnsi="宋体"/>
        </w:rPr>
        <w:t>对响应文件的符合性检查</w:t>
      </w:r>
      <w:bookmarkEnd w:id="74"/>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 xml:space="preserve">17.1 </w:t>
      </w:r>
      <w:r>
        <w:rPr>
          <w:rFonts w:hint="eastAsia" w:ascii="宋体" w:hAnsi="宋体" w:cs="宋体"/>
          <w:sz w:val="24"/>
          <w:szCs w:val="24"/>
        </w:rPr>
        <w:t>磋商小组依据政府采购法律法规和磋商文件的规定，审查响应文件有效性、完整性和对磋商文件的响应程度，以确定响应文件是否实质上响应了磋商文件的要求。</w:t>
      </w:r>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 xml:space="preserve">17.2 </w:t>
      </w:r>
      <w:r>
        <w:rPr>
          <w:rFonts w:hint="eastAsia" w:ascii="宋体" w:hAnsi="宋体" w:cs="宋体"/>
          <w:sz w:val="24"/>
          <w:szCs w:val="24"/>
        </w:rPr>
        <w:t>符合性检查中，对明显的文字和计算错误按下述原则处理，若出现相互矛盾之处，应以排列在先的原则为准优先处理。</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）如果正本与副本或电子文档不一致，以正本为准；单独密封的报价表如与响应文件正本不一致，以单独密封的报价表为准；</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）如果文字表示的数据与数字表示的有差别，以文字为准修正数字。如果大小写金额不一致的，以大写金额为准，数字</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0</w:t>
      </w:r>
      <w:r>
        <w:rPr>
          <w:rFonts w:hint="eastAsia" w:ascii="宋体" w:hAnsi="宋体" w:cs="宋体"/>
          <w:sz w:val="24"/>
          <w:szCs w:val="24"/>
        </w:rPr>
        <w:t>的大写应为“壹贰叁肆伍陆柒捌玖零”；</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）如果单价乘以数量不等于总价，以单价为准修正总价，但单价金额小数点有明显错位的</w:t>
      </w:r>
      <w:r>
        <w:rPr>
          <w:rFonts w:ascii="宋体" w:hAnsi="宋体" w:cs="宋体"/>
          <w:sz w:val="24"/>
          <w:szCs w:val="24"/>
        </w:rPr>
        <w:t>,</w:t>
      </w:r>
      <w:r>
        <w:rPr>
          <w:rFonts w:hint="eastAsia" w:ascii="宋体" w:hAnsi="宋体" w:cs="宋体"/>
          <w:sz w:val="24"/>
          <w:szCs w:val="24"/>
        </w:rPr>
        <w:t>应以总价为准，并修改单价。如果明细价格相加不等于汇总价格，以明细价格为准。</w:t>
      </w:r>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17.3</w:t>
      </w:r>
      <w:r>
        <w:rPr>
          <w:rFonts w:hint="eastAsia" w:ascii="宋体" w:hAnsi="宋体" w:cs="宋体"/>
          <w:sz w:val="24"/>
          <w:szCs w:val="24"/>
        </w:rPr>
        <w:t>有下列情形之一的，视为供应商相互串通报价：</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）不同供应商的响应文件由同一单位或者个人编制；</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）不同供应商委托同一单位或者个人办理报价事宜；</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）不同供应商的响应文件载明的项目管理成员或者联系人员为同一人；</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）不同供应商的响应文件异常一致或者响应文件的报价呈规律性差异；</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）不同供应商的响应文件相互混装；</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）不同供应商的磋商保证金从同一单位或者个人的账户转出。</w:t>
      </w:r>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 xml:space="preserve">17.4 </w:t>
      </w:r>
      <w:r>
        <w:rPr>
          <w:rFonts w:hint="eastAsia" w:ascii="宋体" w:hAnsi="宋体" w:cs="宋体"/>
          <w:sz w:val="24"/>
          <w:szCs w:val="24"/>
        </w:rPr>
        <w:t>有下列情况之一的，属于非实质性响应磋商文件要求，响应文件将被拒绝：</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（1）响应文件有效期不满足磋商文件要求的；</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（2）供应商在同一份响应文件中提供了选择性方案或选择报价；</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（3）报价超过本项目预算或最高限价的；</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（4） 响应文件未按磋商文件规定签署、盖章的；或由供应商授权代表签字的，但未随响应文件一起提交有效的授权委托书的；</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（5）未按规定提交磋商保证金的；</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（6）未按磋商文件提供制造厂家授权书的（只适用进口货物）；</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（7）响应文件附有采购人或采购代理机构不能接受的附加条件的；</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（8）存在</w:t>
      </w:r>
      <w:r>
        <w:rPr>
          <w:rFonts w:ascii="宋体" w:hAnsi="宋体" w:cs="宋体"/>
          <w:sz w:val="24"/>
          <w:szCs w:val="24"/>
        </w:rPr>
        <w:t>17.3</w:t>
      </w:r>
      <w:r>
        <w:rPr>
          <w:rFonts w:hint="eastAsia" w:ascii="宋体" w:hAnsi="宋体" w:cs="宋体"/>
          <w:sz w:val="24"/>
          <w:szCs w:val="24"/>
        </w:rPr>
        <w:t>条款情形之一的；</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（9）不符合法律、法规和磋商文件中规定的其他实质性要求的；</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（10）不满足磋商文件中带“★”要求的；</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（11）未按照磋商文件要求的方式进行报价；</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（12）未对磋商文件的全部内容进行响应。</w:t>
      </w:r>
    </w:p>
    <w:p>
      <w:pPr>
        <w:pStyle w:val="4"/>
        <w:rPr>
          <w:rFonts w:ascii="宋体" w:hAnsi="宋体"/>
        </w:rPr>
      </w:pPr>
      <w:bookmarkStart w:id="75" w:name="_Toc146043885"/>
      <w:r>
        <w:rPr>
          <w:rFonts w:ascii="宋体" w:hAnsi="宋体"/>
        </w:rPr>
        <w:t>18</w:t>
      </w:r>
      <w:r>
        <w:rPr>
          <w:rFonts w:hint="eastAsia" w:ascii="宋体" w:hAnsi="宋体"/>
        </w:rPr>
        <w:t>.磋商</w:t>
      </w:r>
      <w:bookmarkEnd w:id="75"/>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18</w:t>
      </w:r>
      <w:r>
        <w:rPr>
          <w:rFonts w:hint="eastAsia" w:ascii="宋体" w:hAnsi="宋体" w:cs="宋体"/>
          <w:sz w:val="24"/>
          <w:szCs w:val="24"/>
        </w:rPr>
        <w:t>.1磋商小组将对响应文件进行评审，并根据磋商文件规定的程序、评定成交的标准等事项与实质性响应磋商文件要求的供应商进行磋商。未实质性响应磋商文件的响应文件将被拒绝，磋商小组将告知有关供应商。</w:t>
      </w:r>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18.2</w:t>
      </w:r>
      <w:r>
        <w:rPr>
          <w:rFonts w:hint="eastAsia" w:ascii="宋体" w:hAnsi="宋体" w:cs="宋体"/>
          <w:sz w:val="24"/>
          <w:szCs w:val="24"/>
        </w:rPr>
        <w:t>磋商小组所有成员将集中与单一供应商分别进行磋商，并给予所有参加磋商的供应商平等的磋商机会。</w:t>
      </w:r>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18.3</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18.4</w:t>
      </w:r>
      <w:r>
        <w:rPr>
          <w:rFonts w:hint="eastAsia" w:ascii="宋体" w:hAnsi="宋体" w:cs="宋体"/>
          <w:sz w:val="24"/>
          <w:szCs w:val="24"/>
        </w:rPr>
        <w:t>供应商应当按照磋商文件的变动情况和磋商小组的要求重新提交响应文件，并由其响应法定代表人或授权代表签字或者加盖公章。由授权代表签字的，应当附响应法定代表人授权书。</w:t>
      </w:r>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18.5</w:t>
      </w:r>
      <w:r>
        <w:rPr>
          <w:rFonts w:hint="eastAsia" w:ascii="宋体" w:hAnsi="宋体" w:cs="宋体"/>
          <w:sz w:val="24"/>
          <w:szCs w:val="24"/>
        </w:rPr>
        <w:t>若磋商小组对原磋商文件进了实质性修改，已提交响应文件的供应商，在提交最后报价之前，可以根据磋商情况退出磋商。</w:t>
      </w:r>
    </w:p>
    <w:p>
      <w:pPr>
        <w:tabs>
          <w:tab w:val="left" w:pos="8640"/>
        </w:tabs>
        <w:spacing w:line="360" w:lineRule="auto"/>
        <w:ind w:left="566" w:leftChars="-1" w:right="281" w:rightChars="134" w:hanging="568" w:hangingChars="237"/>
        <w:rPr>
          <w:rFonts w:ascii="宋体" w:hAnsi="宋体" w:cs="宋体"/>
        </w:rPr>
      </w:pPr>
      <w:r>
        <w:rPr>
          <w:rFonts w:ascii="宋体" w:hAnsi="宋体" w:cs="宋体"/>
          <w:sz w:val="24"/>
          <w:szCs w:val="24"/>
        </w:rPr>
        <w:t>18.6</w:t>
      </w:r>
      <w:r>
        <w:rPr>
          <w:rFonts w:hint="eastAsia" w:ascii="宋体" w:hAnsi="宋体" w:cs="宋体"/>
          <w:sz w:val="24"/>
          <w:szCs w:val="24"/>
        </w:rPr>
        <w:t>磋商小组根据项目情况可进行一轮或多轮磋商。每轮磋商结束后，磋商小组应当要求所有参加磋商的供应商在规定时间内进行报价，并须由响应法定代表人或其授权代表签字确认。最后报价以最后一轮磋商结束后的报价为准，最后报价是供应商响应文件的有效组成部分。</w:t>
      </w:r>
    </w:p>
    <w:p>
      <w:pPr>
        <w:pStyle w:val="4"/>
        <w:rPr>
          <w:rFonts w:ascii="宋体" w:hAnsi="宋体"/>
        </w:rPr>
      </w:pPr>
      <w:bookmarkStart w:id="76" w:name="_Toc146043886"/>
      <w:r>
        <w:rPr>
          <w:rFonts w:ascii="宋体" w:hAnsi="宋体"/>
        </w:rPr>
        <w:t>19.</w:t>
      </w:r>
      <w:r>
        <w:rPr>
          <w:rFonts w:hint="eastAsia" w:ascii="宋体" w:hAnsi="宋体"/>
        </w:rPr>
        <w:t>详细评审</w:t>
      </w:r>
      <w:bookmarkEnd w:id="76"/>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 xml:space="preserve">19.1 </w:t>
      </w:r>
      <w:r>
        <w:rPr>
          <w:rFonts w:hint="eastAsia" w:ascii="宋体" w:hAnsi="宋体" w:cs="宋体"/>
          <w:sz w:val="24"/>
          <w:szCs w:val="24"/>
        </w:rPr>
        <w:t>经磋商，供应商提交</w:t>
      </w:r>
      <w:r>
        <w:rPr>
          <w:rFonts w:ascii="宋体" w:hAnsi="宋体" w:cs="宋体"/>
          <w:sz w:val="24"/>
          <w:szCs w:val="24"/>
        </w:rPr>
        <w:t>最后响应</w:t>
      </w:r>
      <w:r>
        <w:rPr>
          <w:rFonts w:hint="eastAsia" w:ascii="宋体" w:hAnsi="宋体" w:cs="宋体"/>
          <w:sz w:val="24"/>
          <w:szCs w:val="24"/>
        </w:rPr>
        <w:t>文件</w:t>
      </w:r>
      <w:r>
        <w:rPr>
          <w:rFonts w:ascii="宋体" w:hAnsi="宋体" w:cs="宋体"/>
          <w:sz w:val="24"/>
          <w:szCs w:val="24"/>
        </w:rPr>
        <w:t>和报价后</w:t>
      </w:r>
      <w:r>
        <w:rPr>
          <w:rFonts w:hint="eastAsia" w:ascii="宋体" w:hAnsi="宋体" w:cs="宋体"/>
          <w:sz w:val="24"/>
          <w:szCs w:val="24"/>
        </w:rPr>
        <w:t>，由磋商小组采用综合评分法对供应商提交的</w:t>
      </w:r>
      <w:r>
        <w:rPr>
          <w:rFonts w:ascii="宋体" w:hAnsi="宋体" w:cs="宋体"/>
          <w:sz w:val="24"/>
          <w:szCs w:val="24"/>
        </w:rPr>
        <w:t>最后</w:t>
      </w:r>
      <w:r>
        <w:rPr>
          <w:rFonts w:hint="eastAsia" w:ascii="宋体" w:hAnsi="宋体" w:cs="宋体"/>
          <w:sz w:val="24"/>
          <w:szCs w:val="24"/>
        </w:rPr>
        <w:t>响应文件和最后报价进行综合评分。评分细则详见第五章评审办</w:t>
      </w:r>
      <w:r>
        <w:rPr>
          <w:rFonts w:ascii="宋体" w:hAnsi="宋体" w:cs="宋体"/>
          <w:sz w:val="24"/>
          <w:szCs w:val="24"/>
        </w:rPr>
        <w:t>法和评审标准</w:t>
      </w:r>
      <w:r>
        <w:rPr>
          <w:rFonts w:hint="eastAsia" w:ascii="宋体" w:hAnsi="宋体" w:cs="宋体"/>
          <w:sz w:val="24"/>
          <w:szCs w:val="24"/>
        </w:rPr>
        <w:t>。</w:t>
      </w:r>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 xml:space="preserve">19.2 </w:t>
      </w:r>
      <w:r>
        <w:rPr>
          <w:rFonts w:hint="eastAsia" w:ascii="宋体" w:hAnsi="宋体" w:cs="宋体"/>
          <w:sz w:val="24"/>
          <w:szCs w:val="24"/>
        </w:rPr>
        <w:t>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磋商小组要求供应商澄清、说明或者更正最终响应文件（含最终报价）应当以书面形式作出，供应商的澄清、说明或者更正应当由法定代表人或其授权代表签字或者加盖公章。该澄清文件将作为最终响应文件（含最终报价）内容的一部分。</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1</w:t>
      </w:r>
      <w:r>
        <w:rPr>
          <w:rFonts w:ascii="宋体" w:hAnsi="宋体" w:cs="宋体"/>
          <w:sz w:val="24"/>
          <w:szCs w:val="24"/>
        </w:rPr>
        <w:t>9.3</w:t>
      </w:r>
      <w:r>
        <w:rPr>
          <w:rFonts w:hint="eastAsia" w:ascii="宋体" w:hAnsi="宋体" w:cs="宋体"/>
          <w:sz w:val="24"/>
          <w:szCs w:val="24"/>
        </w:rPr>
        <w:t>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1</w:t>
      </w:r>
      <w:r>
        <w:rPr>
          <w:rFonts w:ascii="宋体" w:hAnsi="宋体" w:cs="宋体"/>
          <w:sz w:val="24"/>
          <w:szCs w:val="24"/>
        </w:rPr>
        <w:t>9.4</w:t>
      </w:r>
      <w:r>
        <w:rPr>
          <w:rFonts w:hint="eastAsia" w:ascii="宋体" w:hAnsi="宋体" w:cs="宋体"/>
          <w:sz w:val="24"/>
          <w:szCs w:val="24"/>
        </w:rPr>
        <w:t>根据财政部发布的《政府采购促进中小企业发展管理办法》规定，对于非专门面向中小企业的项目，对小微企业产品的价格给予10</w:t>
      </w:r>
      <w:r>
        <w:rPr>
          <w:rFonts w:ascii="宋体" w:hAnsi="宋体" w:cs="宋体"/>
          <w:sz w:val="24"/>
          <w:szCs w:val="24"/>
        </w:rPr>
        <w:t>%-</w:t>
      </w: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的扣除；若供应商为联合体，联合协议中约定，小型、微型企业的协议合同金额占到联合体协议合同总金额</w:t>
      </w:r>
      <w:r>
        <w:rPr>
          <w:rFonts w:ascii="宋体" w:hAnsi="宋体" w:cs="宋体"/>
          <w:sz w:val="24"/>
          <w:szCs w:val="24"/>
        </w:rPr>
        <w:t>30%</w:t>
      </w:r>
      <w:r>
        <w:rPr>
          <w:rFonts w:hint="eastAsia" w:ascii="宋体" w:hAnsi="宋体" w:cs="宋体"/>
          <w:sz w:val="24"/>
          <w:szCs w:val="24"/>
        </w:rPr>
        <w:t>以上的，可给予联合体4%—6%的价格扣除，扣除后的价格参与评审。具体扣除价格百分比详见</w:t>
      </w:r>
      <w:r>
        <w:rPr>
          <w:rFonts w:hint="eastAsia" w:ascii="宋体" w:hAnsi="宋体" w:cs="宋体"/>
          <w:b/>
          <w:sz w:val="24"/>
          <w:szCs w:val="24"/>
        </w:rPr>
        <w:t>第五章评审办法和评分标准。</w:t>
      </w:r>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 xml:space="preserve">19.5 </w:t>
      </w:r>
      <w:r>
        <w:rPr>
          <w:rFonts w:hint="eastAsia" w:ascii="宋体" w:hAnsi="宋体" w:cs="宋体"/>
          <w:sz w:val="24"/>
          <w:szCs w:val="24"/>
        </w:rPr>
        <w:t>磋商小组将根据综合评分情况，按照评审得分由高到低顺序推荐</w:t>
      </w:r>
      <w:r>
        <w:rPr>
          <w:rFonts w:ascii="宋体" w:hAnsi="宋体" w:cs="宋体"/>
          <w:sz w:val="24"/>
          <w:szCs w:val="24"/>
        </w:rPr>
        <w:t>3名或</w:t>
      </w:r>
      <w:r>
        <w:rPr>
          <w:rFonts w:hint="eastAsia" w:ascii="宋体" w:hAnsi="宋体" w:cs="宋体"/>
          <w:sz w:val="24"/>
          <w:szCs w:val="24"/>
        </w:rPr>
        <w:t>以上成交候选供应商。评审得分相同的，按照最后报价由低到高的顺序推荐。评审得分且最后报价相同的，按照技术方案优劣顺序推荐。</w:t>
      </w:r>
      <w:r>
        <w:rPr>
          <w:rFonts w:ascii="宋体" w:hAnsi="宋体" w:cs="宋体"/>
          <w:sz w:val="24"/>
          <w:szCs w:val="24"/>
        </w:rPr>
        <w:t>磋商</w:t>
      </w:r>
      <w:r>
        <w:rPr>
          <w:rFonts w:hint="eastAsia" w:ascii="宋体" w:hAnsi="宋体" w:cs="宋体"/>
          <w:sz w:val="24"/>
          <w:szCs w:val="24"/>
        </w:rPr>
        <w:t>小组应当</w:t>
      </w:r>
      <w:r>
        <w:rPr>
          <w:rFonts w:ascii="宋体" w:hAnsi="宋体" w:cs="宋体"/>
          <w:sz w:val="24"/>
          <w:szCs w:val="24"/>
        </w:rPr>
        <w:t>根据</w:t>
      </w:r>
      <w:r>
        <w:rPr>
          <w:rFonts w:hint="eastAsia" w:ascii="宋体" w:hAnsi="宋体" w:cs="宋体"/>
          <w:sz w:val="24"/>
          <w:szCs w:val="24"/>
        </w:rPr>
        <w:t>磋商</w:t>
      </w:r>
      <w:r>
        <w:rPr>
          <w:rFonts w:ascii="宋体" w:hAnsi="宋体" w:cs="宋体"/>
          <w:sz w:val="24"/>
          <w:szCs w:val="24"/>
        </w:rPr>
        <w:t>情况</w:t>
      </w:r>
      <w:r>
        <w:rPr>
          <w:rFonts w:hint="eastAsia" w:ascii="宋体" w:hAnsi="宋体" w:cs="宋体"/>
          <w:sz w:val="24"/>
          <w:szCs w:val="24"/>
        </w:rPr>
        <w:t>和评审结果</w:t>
      </w:r>
      <w:r>
        <w:rPr>
          <w:rFonts w:ascii="宋体" w:hAnsi="宋体" w:cs="宋体"/>
          <w:sz w:val="24"/>
          <w:szCs w:val="24"/>
        </w:rPr>
        <w:t>编写评审报告</w:t>
      </w:r>
      <w:r>
        <w:rPr>
          <w:rFonts w:hint="eastAsia" w:ascii="宋体" w:hAnsi="宋体" w:cs="宋体"/>
          <w:sz w:val="24"/>
          <w:szCs w:val="24"/>
        </w:rPr>
        <w:t>。</w:t>
      </w:r>
    </w:p>
    <w:p>
      <w:pPr>
        <w:pStyle w:val="4"/>
        <w:rPr>
          <w:rFonts w:ascii="宋体" w:hAnsi="宋体"/>
        </w:rPr>
      </w:pPr>
      <w:bookmarkStart w:id="77" w:name="_Toc146043887"/>
      <w:r>
        <w:rPr>
          <w:rFonts w:ascii="宋体" w:hAnsi="宋体"/>
        </w:rPr>
        <w:t>20.</w:t>
      </w:r>
      <w:r>
        <w:rPr>
          <w:rFonts w:hint="eastAsia" w:ascii="宋体" w:hAnsi="宋体"/>
        </w:rPr>
        <w:t>磋商过程要求</w:t>
      </w:r>
      <w:bookmarkEnd w:id="77"/>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 xml:space="preserve">20.1 </w:t>
      </w:r>
      <w:r>
        <w:rPr>
          <w:rFonts w:hint="eastAsia" w:ascii="宋体" w:hAnsi="宋体" w:cs="宋体"/>
          <w:sz w:val="24"/>
          <w:szCs w:val="24"/>
        </w:rPr>
        <w:t>在磋商期间，供应商企图影响采购人、采购代理机构或磋商小组的任何活动，将导致响应被拒绝，并由其承担相应的法律责任。</w:t>
      </w:r>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20</w:t>
      </w:r>
      <w:r>
        <w:rPr>
          <w:rFonts w:hint="eastAsia" w:ascii="宋体" w:hAnsi="宋体" w:cs="宋体"/>
          <w:sz w:val="24"/>
          <w:szCs w:val="24"/>
        </w:rPr>
        <w:t>.2 磋商小组</w:t>
      </w:r>
      <w:r>
        <w:rPr>
          <w:rFonts w:ascii="宋体" w:hAnsi="宋体" w:cs="宋体"/>
          <w:sz w:val="24"/>
          <w:szCs w:val="24"/>
        </w:rPr>
        <w:t>认为</w:t>
      </w:r>
      <w:r>
        <w:rPr>
          <w:rFonts w:hint="eastAsia" w:ascii="宋体" w:hAnsi="宋体" w:cs="宋体"/>
          <w:sz w:val="24"/>
          <w:szCs w:val="24"/>
        </w:rPr>
        <w:t>供应商</w:t>
      </w:r>
      <w:r>
        <w:rPr>
          <w:rFonts w:ascii="宋体" w:hAnsi="宋体" w:cs="宋体"/>
          <w:sz w:val="24"/>
          <w:szCs w:val="24"/>
        </w:rPr>
        <w:t>的报价明显低于其他通过符合性审查</w:t>
      </w:r>
      <w:r>
        <w:rPr>
          <w:rFonts w:hint="eastAsia" w:ascii="宋体" w:hAnsi="宋体" w:cs="宋体"/>
          <w:sz w:val="24"/>
          <w:szCs w:val="24"/>
        </w:rPr>
        <w:t>供应商</w:t>
      </w:r>
      <w:r>
        <w:rPr>
          <w:rFonts w:ascii="宋体" w:hAnsi="宋体" w:cs="宋体"/>
          <w:sz w:val="24"/>
          <w:szCs w:val="24"/>
        </w:rPr>
        <w:t>的报价，有可能影响产品质量或者不能诚信履约的，应当要求其在</w:t>
      </w:r>
      <w:r>
        <w:rPr>
          <w:rFonts w:hint="eastAsia" w:ascii="宋体" w:hAnsi="宋体" w:cs="宋体"/>
          <w:sz w:val="24"/>
          <w:szCs w:val="24"/>
        </w:rPr>
        <w:t>磋商</w:t>
      </w:r>
      <w:r>
        <w:rPr>
          <w:rFonts w:ascii="宋体" w:hAnsi="宋体" w:cs="宋体"/>
          <w:sz w:val="24"/>
          <w:szCs w:val="24"/>
        </w:rPr>
        <w:t>现场合理的时间内提供书面说明，必要时提交相关证明材料；</w:t>
      </w:r>
      <w:r>
        <w:rPr>
          <w:rFonts w:hint="eastAsia" w:ascii="宋体" w:hAnsi="宋体" w:cs="宋体"/>
          <w:sz w:val="24"/>
          <w:szCs w:val="24"/>
        </w:rPr>
        <w:t>供应商</w:t>
      </w:r>
      <w:r>
        <w:rPr>
          <w:rFonts w:ascii="宋体" w:hAnsi="宋体" w:cs="宋体"/>
          <w:sz w:val="24"/>
          <w:szCs w:val="24"/>
        </w:rPr>
        <w:t>不能证明其报价合理性的，</w:t>
      </w:r>
      <w:r>
        <w:rPr>
          <w:rFonts w:hint="eastAsia" w:ascii="宋体" w:hAnsi="宋体" w:cs="宋体"/>
          <w:sz w:val="24"/>
          <w:szCs w:val="24"/>
        </w:rPr>
        <w:t>磋商小组</w:t>
      </w:r>
      <w:r>
        <w:rPr>
          <w:rFonts w:ascii="宋体" w:hAnsi="宋体" w:cs="宋体"/>
          <w:sz w:val="24"/>
          <w:szCs w:val="24"/>
        </w:rPr>
        <w:t>应当将其作为无效</w:t>
      </w:r>
      <w:r>
        <w:rPr>
          <w:rFonts w:hint="eastAsia" w:ascii="宋体" w:hAnsi="宋体" w:cs="宋体"/>
          <w:sz w:val="24"/>
          <w:szCs w:val="24"/>
        </w:rPr>
        <w:t>响应</w:t>
      </w:r>
      <w:r>
        <w:rPr>
          <w:rFonts w:ascii="宋体" w:hAnsi="宋体" w:cs="宋体"/>
          <w:sz w:val="24"/>
          <w:szCs w:val="24"/>
        </w:rPr>
        <w:t>处理。</w:t>
      </w:r>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20.3</w:t>
      </w:r>
      <w:r>
        <w:rPr>
          <w:rFonts w:hint="eastAsia" w:ascii="宋体" w:hAnsi="宋体" w:cs="宋体"/>
          <w:sz w:val="24"/>
          <w:szCs w:val="24"/>
        </w:rPr>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4"/>
        <w:rPr>
          <w:rFonts w:ascii="宋体" w:hAnsi="宋体"/>
        </w:rPr>
      </w:pPr>
      <w:bookmarkStart w:id="78" w:name="_Toc146043888"/>
      <w:r>
        <w:rPr>
          <w:rFonts w:hint="eastAsia" w:ascii="宋体" w:hAnsi="宋体"/>
        </w:rPr>
        <w:t>2</w:t>
      </w:r>
      <w:r>
        <w:rPr>
          <w:rFonts w:ascii="宋体" w:hAnsi="宋体"/>
        </w:rPr>
        <w:t>1</w:t>
      </w:r>
      <w:r>
        <w:rPr>
          <w:rFonts w:hint="eastAsia" w:ascii="宋体" w:hAnsi="宋体"/>
        </w:rPr>
        <w:t>．评审过程及保密原则</w:t>
      </w:r>
      <w:bookmarkEnd w:id="78"/>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2</w:t>
      </w:r>
      <w:r>
        <w:rPr>
          <w:rFonts w:ascii="宋体" w:hAnsi="宋体" w:cs="宋体"/>
          <w:sz w:val="24"/>
          <w:szCs w:val="24"/>
        </w:rPr>
        <w:t>1</w:t>
      </w: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凡与本次磋商有关人员对属于审查、澄清、评价和比较的有关资料等，均不得向无关供应商或其他无关的人员透露。</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2</w:t>
      </w:r>
      <w:r>
        <w:rPr>
          <w:rFonts w:ascii="宋体" w:hAnsi="宋体" w:cs="宋体"/>
          <w:sz w:val="24"/>
          <w:szCs w:val="24"/>
        </w:rPr>
        <w:t>1</w:t>
      </w: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在磋商和评审期间，供应商试图影响采购单位和磋商小组的任何违法活动，将导致其响应无效，并承担相应的法律责任。</w:t>
      </w:r>
    </w:p>
    <w:p>
      <w:pPr>
        <w:pStyle w:val="4"/>
        <w:rPr>
          <w:rFonts w:ascii="宋体" w:hAnsi="宋体"/>
        </w:rPr>
      </w:pPr>
      <w:bookmarkStart w:id="79" w:name="_Toc146043889"/>
      <w:r>
        <w:rPr>
          <w:rFonts w:ascii="宋体" w:hAnsi="宋体"/>
        </w:rPr>
        <w:t>22.</w:t>
      </w:r>
      <w:r>
        <w:rPr>
          <w:rFonts w:hint="eastAsia" w:ascii="宋体" w:hAnsi="宋体"/>
        </w:rPr>
        <w:t>采购项目终止</w:t>
      </w:r>
      <w:bookmarkEnd w:id="79"/>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 xml:space="preserve">22.1 </w:t>
      </w:r>
      <w:r>
        <w:rPr>
          <w:rFonts w:hint="eastAsia" w:ascii="宋体" w:hAnsi="宋体" w:cs="宋体"/>
          <w:sz w:val="24"/>
          <w:szCs w:val="24"/>
        </w:rPr>
        <w:t>在磋商过程中，磋商小组发现有下列情形之一的，应对采购项目予以终止：</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）采购过程中符合要求的供应商或者报价未超过采购预算的供应商不足3家的，但政府购买服务、市场竞争不充分的科研项目，以及需要扶持的科技成果转化项目除外；</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）因情况变化，不再符合规定的竞争性磋商采购方式适用情形的；</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）出现影响采购公正的违法、违规行为的；</w:t>
      </w:r>
    </w:p>
    <w:p>
      <w:pPr>
        <w:tabs>
          <w:tab w:val="left" w:pos="8640"/>
        </w:tabs>
        <w:spacing w:line="360" w:lineRule="auto"/>
        <w:ind w:left="566" w:leftChars="-1" w:right="281" w:rightChars="134" w:hanging="568" w:hangingChars="237"/>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）因重大变故，采购任务取消的。</w:t>
      </w:r>
    </w:p>
    <w:p>
      <w:pPr>
        <w:tabs>
          <w:tab w:val="left" w:pos="8640"/>
        </w:tabs>
        <w:spacing w:line="360" w:lineRule="auto"/>
        <w:ind w:left="566" w:leftChars="-1" w:right="281" w:rightChars="134" w:hanging="568" w:hangingChars="237"/>
        <w:rPr>
          <w:rFonts w:ascii="宋体" w:hAnsi="宋体" w:cs="宋体"/>
          <w:sz w:val="24"/>
          <w:szCs w:val="24"/>
        </w:rPr>
      </w:pPr>
      <w:r>
        <w:rPr>
          <w:rFonts w:ascii="宋体" w:hAnsi="宋体" w:cs="宋体"/>
          <w:sz w:val="24"/>
          <w:szCs w:val="24"/>
        </w:rPr>
        <w:t xml:space="preserve">22.2 </w:t>
      </w:r>
      <w:r>
        <w:rPr>
          <w:rFonts w:hint="eastAsia" w:ascii="宋体" w:hAnsi="宋体" w:cs="宋体"/>
          <w:sz w:val="24"/>
          <w:szCs w:val="24"/>
        </w:rPr>
        <w:t>项目终止后，采购代理机构应当在公告发布媒介上发布项目终止公告并说明原因。</w:t>
      </w:r>
    </w:p>
    <w:p>
      <w:pPr>
        <w:pStyle w:val="3"/>
      </w:pPr>
      <w:bookmarkStart w:id="80" w:name="_Toc146043890"/>
      <w:r>
        <w:rPr>
          <w:rFonts w:hint="eastAsia"/>
        </w:rPr>
        <w:t>六、成交</w:t>
      </w:r>
      <w:bookmarkEnd w:id="80"/>
    </w:p>
    <w:p>
      <w:pPr>
        <w:pStyle w:val="4"/>
        <w:rPr>
          <w:rFonts w:ascii="宋体" w:hAnsi="宋体"/>
        </w:rPr>
      </w:pPr>
      <w:bookmarkStart w:id="81" w:name="_Toc146043891"/>
      <w:r>
        <w:rPr>
          <w:rFonts w:ascii="宋体" w:hAnsi="宋体"/>
        </w:rPr>
        <w:t>22</w:t>
      </w:r>
      <w:r>
        <w:rPr>
          <w:rFonts w:hint="eastAsia" w:ascii="宋体" w:hAnsi="宋体"/>
        </w:rPr>
        <w:t>. 成交通知书</w:t>
      </w:r>
      <w:bookmarkEnd w:id="81"/>
    </w:p>
    <w:p>
      <w:pPr>
        <w:tabs>
          <w:tab w:val="left" w:pos="8640"/>
        </w:tabs>
        <w:spacing w:line="360" w:lineRule="auto"/>
        <w:ind w:right="281" w:rightChars="134"/>
        <w:rPr>
          <w:rFonts w:ascii="宋体" w:hAnsi="宋体" w:cs="Arial"/>
          <w:sz w:val="24"/>
          <w:szCs w:val="24"/>
        </w:rPr>
      </w:pPr>
      <w:r>
        <w:rPr>
          <w:rFonts w:ascii="宋体" w:hAnsi="宋体" w:cs="Arial"/>
          <w:sz w:val="24"/>
          <w:szCs w:val="24"/>
        </w:rPr>
        <w:t>22</w:t>
      </w:r>
      <w:r>
        <w:rPr>
          <w:rFonts w:hint="eastAsia" w:ascii="宋体" w:hAnsi="宋体" w:cs="Arial"/>
          <w:sz w:val="24"/>
          <w:szCs w:val="24"/>
        </w:rPr>
        <w:t>.1  采购代理机构在成交供应商确定后2个工作日内，在省级以上财政部门指定的政府采购信息发布媒体上公告成交结果，同时向成交供应商发出成交通知书。</w:t>
      </w:r>
    </w:p>
    <w:p>
      <w:pPr>
        <w:tabs>
          <w:tab w:val="left" w:pos="8640"/>
        </w:tabs>
        <w:spacing w:line="360" w:lineRule="auto"/>
        <w:ind w:right="281" w:rightChars="134"/>
        <w:rPr>
          <w:rFonts w:ascii="宋体" w:hAnsi="宋体" w:cs="Arial"/>
          <w:sz w:val="24"/>
          <w:szCs w:val="24"/>
        </w:rPr>
      </w:pPr>
      <w:r>
        <w:rPr>
          <w:rFonts w:ascii="宋体" w:hAnsi="宋体" w:cs="Arial"/>
          <w:sz w:val="24"/>
          <w:szCs w:val="24"/>
        </w:rPr>
        <w:t>22</w:t>
      </w:r>
      <w:r>
        <w:rPr>
          <w:rFonts w:hint="eastAsia" w:ascii="宋体" w:hAnsi="宋体" w:cs="Arial"/>
          <w:sz w:val="24"/>
          <w:szCs w:val="24"/>
        </w:rPr>
        <w:t>.2  成交通知书是合同的组成部分。</w:t>
      </w:r>
    </w:p>
    <w:p>
      <w:pPr>
        <w:pStyle w:val="4"/>
        <w:rPr>
          <w:rFonts w:ascii="宋体" w:hAnsi="宋体"/>
        </w:rPr>
      </w:pPr>
      <w:bookmarkStart w:id="82" w:name="_Toc146043892"/>
      <w:r>
        <w:rPr>
          <w:rFonts w:ascii="宋体" w:hAnsi="宋体"/>
        </w:rPr>
        <w:t>23</w:t>
      </w:r>
      <w:r>
        <w:rPr>
          <w:rFonts w:hint="eastAsia" w:ascii="宋体" w:hAnsi="宋体"/>
        </w:rPr>
        <w:t>.成交服务费</w:t>
      </w:r>
      <w:bookmarkEnd w:id="82"/>
    </w:p>
    <w:p>
      <w:pPr>
        <w:autoSpaceDE w:val="0"/>
        <w:autoSpaceDN w:val="0"/>
        <w:spacing w:line="360" w:lineRule="auto"/>
        <w:ind w:left="600" w:right="281" w:rightChars="134" w:hanging="600" w:hangingChars="250"/>
        <w:textAlignment w:val="bottom"/>
        <w:rPr>
          <w:rFonts w:ascii="宋体" w:hAnsi="宋体" w:cs="Arial"/>
          <w:sz w:val="24"/>
          <w:szCs w:val="24"/>
        </w:rPr>
      </w:pPr>
      <w:r>
        <w:rPr>
          <w:rFonts w:ascii="宋体" w:hAnsi="宋体" w:cs="Arial"/>
          <w:sz w:val="24"/>
          <w:szCs w:val="24"/>
        </w:rPr>
        <w:t>23</w:t>
      </w:r>
      <w:r>
        <w:rPr>
          <w:rFonts w:hint="eastAsia" w:ascii="宋体" w:hAnsi="宋体" w:cs="Arial"/>
          <w:sz w:val="24"/>
          <w:szCs w:val="24"/>
        </w:rPr>
        <w:t xml:space="preserve">.1 </w:t>
      </w:r>
      <w:r>
        <w:rPr>
          <w:rFonts w:hint="eastAsia" w:ascii="宋体" w:hAnsi="宋体"/>
          <w:sz w:val="24"/>
        </w:rPr>
        <w:t>采购代理机构参照原计价格</w:t>
      </w:r>
      <w:r>
        <w:rPr>
          <w:rFonts w:ascii="宋体" w:hAnsi="宋体"/>
          <w:sz w:val="24"/>
        </w:rPr>
        <w:t>[2002]1980号文、</w:t>
      </w:r>
      <w:r>
        <w:rPr>
          <w:rFonts w:hint="eastAsia" w:ascii="宋体" w:hAnsi="宋体" w:cs="宋体"/>
          <w:kern w:val="0"/>
          <w:sz w:val="24"/>
        </w:rPr>
        <w:t>发改办价格</w:t>
      </w:r>
      <w:r>
        <w:rPr>
          <w:rFonts w:ascii="宋体" w:hAnsi="宋体" w:cs="宋体"/>
          <w:kern w:val="0"/>
          <w:sz w:val="24"/>
        </w:rPr>
        <w:t>[2003]857号文及发改</w:t>
      </w:r>
      <w:r>
        <w:rPr>
          <w:rFonts w:hint="eastAsia" w:ascii="宋体" w:hAnsi="宋体" w:cs="宋体"/>
          <w:kern w:val="0"/>
          <w:sz w:val="24"/>
        </w:rPr>
        <w:t>办</w:t>
      </w:r>
      <w:r>
        <w:rPr>
          <w:rFonts w:ascii="宋体" w:hAnsi="宋体" w:cs="宋体"/>
          <w:kern w:val="0"/>
          <w:sz w:val="24"/>
        </w:rPr>
        <w:t>价格[2011]534号</w:t>
      </w:r>
      <w:r>
        <w:rPr>
          <w:rFonts w:hint="eastAsia" w:ascii="宋体" w:hAnsi="宋体" w:cs="宋体"/>
          <w:kern w:val="0"/>
          <w:sz w:val="24"/>
        </w:rPr>
        <w:t>文有关规定向成交供应商收取</w:t>
      </w:r>
      <w:r>
        <w:rPr>
          <w:rFonts w:hint="eastAsia" w:ascii="宋体" w:hAnsi="宋体"/>
          <w:sz w:val="24"/>
        </w:rPr>
        <w:t>成交服务费用</w:t>
      </w:r>
      <w:r>
        <w:rPr>
          <w:rFonts w:hint="eastAsia" w:ascii="宋体" w:hAnsi="宋体" w:cs="Arial"/>
          <w:sz w:val="24"/>
          <w:szCs w:val="24"/>
        </w:rPr>
        <w:t>。此项费用不单独开列而应计入本次报价，由成交公司在领取成交通知书时一次性向采购代理机构交纳。</w:t>
      </w:r>
    </w:p>
    <w:p>
      <w:pPr>
        <w:spacing w:line="360" w:lineRule="auto"/>
        <w:ind w:right="281" w:rightChars="134"/>
        <w:rPr>
          <w:rFonts w:ascii="宋体" w:hAnsi="宋体" w:cs="Arial"/>
          <w:sz w:val="24"/>
          <w:szCs w:val="24"/>
        </w:rPr>
      </w:pPr>
      <w:r>
        <w:rPr>
          <w:rFonts w:ascii="宋体" w:hAnsi="宋体" w:cs="Arial"/>
          <w:sz w:val="24"/>
          <w:szCs w:val="24"/>
        </w:rPr>
        <w:t>23</w:t>
      </w:r>
      <w:r>
        <w:rPr>
          <w:rFonts w:hint="eastAsia" w:ascii="宋体" w:hAnsi="宋体" w:cs="Arial"/>
          <w:sz w:val="24"/>
          <w:szCs w:val="24"/>
        </w:rPr>
        <w:t>.2 成交服务费可采用现金、支票、电汇或银行汇票等形式。</w:t>
      </w:r>
    </w:p>
    <w:p>
      <w:pPr>
        <w:spacing w:line="360" w:lineRule="auto"/>
        <w:ind w:right="281" w:rightChars="134"/>
        <w:rPr>
          <w:rFonts w:ascii="宋体" w:hAnsi="宋体" w:cs="Arial"/>
          <w:sz w:val="24"/>
          <w:szCs w:val="24"/>
        </w:rPr>
      </w:pPr>
      <w:r>
        <w:rPr>
          <w:rFonts w:ascii="宋体" w:hAnsi="宋体" w:cs="Arial"/>
          <w:sz w:val="24"/>
          <w:szCs w:val="24"/>
        </w:rPr>
        <w:t>23</w:t>
      </w:r>
      <w:r>
        <w:rPr>
          <w:rFonts w:hint="eastAsia" w:ascii="宋体" w:hAnsi="宋体" w:cs="Arial"/>
          <w:sz w:val="24"/>
          <w:szCs w:val="24"/>
        </w:rPr>
        <w:t>.3在磋商时，供应商应提供成交服务费承诺书，未提供者按无效响应处理。</w:t>
      </w:r>
    </w:p>
    <w:p>
      <w:pPr>
        <w:pStyle w:val="3"/>
      </w:pPr>
      <w:bookmarkStart w:id="83" w:name="_Toc146043893"/>
      <w:r>
        <w:rPr>
          <w:rFonts w:hint="eastAsia"/>
        </w:rPr>
        <w:t>七、签订合同</w:t>
      </w:r>
      <w:bookmarkEnd w:id="83"/>
    </w:p>
    <w:p>
      <w:pPr>
        <w:pStyle w:val="4"/>
        <w:rPr>
          <w:rFonts w:ascii="宋体" w:hAnsi="宋体"/>
        </w:rPr>
      </w:pPr>
      <w:bookmarkStart w:id="84" w:name="_Toc146043894"/>
      <w:r>
        <w:rPr>
          <w:rFonts w:hint="eastAsia" w:ascii="宋体" w:hAnsi="宋体"/>
        </w:rPr>
        <w:t>2</w:t>
      </w:r>
      <w:r>
        <w:rPr>
          <w:rFonts w:ascii="宋体" w:hAnsi="宋体"/>
        </w:rPr>
        <w:t>4</w:t>
      </w:r>
      <w:r>
        <w:rPr>
          <w:rFonts w:hint="eastAsia" w:ascii="宋体" w:hAnsi="宋体"/>
        </w:rPr>
        <w:t>.</w:t>
      </w:r>
      <w:r>
        <w:rPr>
          <w:rFonts w:hint="eastAsia" w:ascii="宋体" w:hAnsi="宋体"/>
        </w:rPr>
        <w:tab/>
      </w:r>
      <w:r>
        <w:rPr>
          <w:rFonts w:hint="eastAsia" w:ascii="宋体" w:hAnsi="宋体"/>
        </w:rPr>
        <w:t>签订合同</w:t>
      </w:r>
      <w:bookmarkEnd w:id="84"/>
    </w:p>
    <w:p>
      <w:pPr>
        <w:spacing w:line="360" w:lineRule="auto"/>
        <w:rPr>
          <w:rFonts w:ascii="宋体" w:hAnsi="宋体" w:cs="Arial"/>
          <w:sz w:val="24"/>
          <w:szCs w:val="24"/>
        </w:rPr>
      </w:pPr>
      <w:r>
        <w:rPr>
          <w:rFonts w:hint="eastAsia" w:ascii="宋体" w:hAnsi="宋体" w:cs="Arial"/>
          <w:sz w:val="24"/>
          <w:szCs w:val="24"/>
        </w:rPr>
        <w:t>2</w:t>
      </w:r>
      <w:r>
        <w:rPr>
          <w:rFonts w:ascii="宋体" w:hAnsi="宋体" w:cs="Arial"/>
          <w:sz w:val="24"/>
          <w:szCs w:val="24"/>
        </w:rPr>
        <w:t>4</w:t>
      </w:r>
      <w:r>
        <w:rPr>
          <w:rFonts w:hint="eastAsia" w:ascii="宋体" w:hAnsi="宋体" w:cs="Arial"/>
          <w:sz w:val="24"/>
          <w:szCs w:val="24"/>
        </w:rPr>
        <w:t>.1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pPr>
        <w:spacing w:line="360" w:lineRule="auto"/>
        <w:rPr>
          <w:rFonts w:ascii="宋体" w:hAnsi="宋体" w:cs="Arial"/>
          <w:sz w:val="24"/>
          <w:szCs w:val="24"/>
        </w:rPr>
      </w:pPr>
      <w:r>
        <w:rPr>
          <w:rFonts w:hint="eastAsia" w:ascii="宋体" w:hAnsi="宋体" w:cs="Arial"/>
          <w:sz w:val="24"/>
          <w:szCs w:val="24"/>
        </w:rPr>
        <w:t>2</w:t>
      </w:r>
      <w:r>
        <w:rPr>
          <w:rFonts w:ascii="宋体" w:hAnsi="宋体" w:cs="Arial"/>
          <w:sz w:val="24"/>
          <w:szCs w:val="24"/>
        </w:rPr>
        <w:t>4</w:t>
      </w:r>
      <w:r>
        <w:rPr>
          <w:rFonts w:hint="eastAsia" w:ascii="宋体" w:hAnsi="宋体" w:cs="Arial"/>
          <w:sz w:val="24"/>
          <w:szCs w:val="24"/>
        </w:rPr>
        <w:t>.2磋商文件、成交供应商的响应文件及其澄清文件等，均为签订合同的依据。</w:t>
      </w:r>
    </w:p>
    <w:p>
      <w:pPr>
        <w:pStyle w:val="3"/>
      </w:pPr>
      <w:bookmarkStart w:id="85" w:name="_Toc61612792"/>
      <w:bookmarkStart w:id="86" w:name="_Toc146043895"/>
      <w:r>
        <w:rPr>
          <w:rFonts w:hint="eastAsia"/>
        </w:rPr>
        <w:t>八、其它</w:t>
      </w:r>
      <w:bookmarkEnd w:id="85"/>
      <w:bookmarkEnd w:id="86"/>
    </w:p>
    <w:p>
      <w:pPr>
        <w:spacing w:line="360" w:lineRule="auto"/>
        <w:jc w:val="left"/>
        <w:rPr>
          <w:rFonts w:ascii="宋体" w:hAnsi="宋体"/>
          <w:sz w:val="24"/>
        </w:rPr>
      </w:pPr>
      <w:r>
        <w:rPr>
          <w:rFonts w:ascii="宋体" w:hAnsi="宋体"/>
          <w:sz w:val="24"/>
        </w:rPr>
        <w:t>25.</w:t>
      </w:r>
      <w:r>
        <w:rPr>
          <w:rFonts w:hint="eastAsia" w:ascii="宋体" w:hAnsi="宋体"/>
          <w:sz w:val="24"/>
        </w:rPr>
        <w:t>如果被推荐的成交候选人被认为在本次采购过程的竞争中有腐败和欺诈行为，则被拒绝授予合同。</w:t>
      </w:r>
    </w:p>
    <w:p>
      <w:pPr>
        <w:spacing w:line="360" w:lineRule="auto"/>
        <w:rPr>
          <w:rFonts w:ascii="宋体" w:hAnsi="宋体"/>
          <w:sz w:val="24"/>
        </w:rPr>
      </w:pPr>
      <w:r>
        <w:rPr>
          <w:rFonts w:ascii="宋体" w:hAnsi="宋体"/>
          <w:sz w:val="24"/>
        </w:rPr>
        <w:t>25</w:t>
      </w:r>
      <w:r>
        <w:rPr>
          <w:rFonts w:hint="eastAsia" w:ascii="宋体" w:hAnsi="宋体"/>
          <w:sz w:val="24"/>
        </w:rPr>
        <w:t>.1 “腐败行为”是指通过提供、给予、接受、索取任何有价值的东西来影响采购人在采购过程中或合同实施过程中的行为；</w:t>
      </w:r>
    </w:p>
    <w:p>
      <w:pPr>
        <w:spacing w:line="360" w:lineRule="auto"/>
        <w:jc w:val="left"/>
        <w:rPr>
          <w:rFonts w:ascii="宋体" w:hAnsi="宋体"/>
          <w:sz w:val="24"/>
        </w:rPr>
      </w:pPr>
      <w:r>
        <w:rPr>
          <w:rFonts w:ascii="宋体" w:hAnsi="宋体"/>
          <w:sz w:val="24"/>
        </w:rPr>
        <w:t>25</w:t>
      </w:r>
      <w:r>
        <w:rPr>
          <w:rFonts w:hint="eastAsia" w:ascii="宋体" w:hAnsi="宋体"/>
          <w:sz w:val="24"/>
        </w:rPr>
        <w:t>.2 “欺诈行为”是指为了影响采购过程或合同实施过程而谎报事实，损害采购人和公共利益，包括供应商之间串通投标（递交响应文件之前和之后），人为地使磋商丧失竞争性，剥夺了采购人从竞争中所获得的利益。</w:t>
      </w:r>
    </w:p>
    <w:p>
      <w:pPr>
        <w:spacing w:line="360" w:lineRule="auto"/>
        <w:rPr>
          <w:rFonts w:ascii="宋体" w:hAnsi="宋体"/>
          <w:sz w:val="24"/>
        </w:rPr>
        <w:sectPr>
          <w:headerReference r:id="rId7" w:type="first"/>
          <w:footerReference r:id="rId8" w:type="default"/>
          <w:pgSz w:w="11907" w:h="16840"/>
          <w:pgMar w:top="1440" w:right="1800" w:bottom="1440" w:left="1800" w:header="851" w:footer="851" w:gutter="0"/>
          <w:cols w:space="720" w:num="1"/>
          <w:docGrid w:linePitch="462" w:charSpace="0"/>
        </w:sectPr>
      </w:pPr>
      <w:r>
        <w:rPr>
          <w:rFonts w:ascii="宋体" w:hAnsi="宋体"/>
          <w:sz w:val="24"/>
        </w:rPr>
        <w:t>26.</w:t>
      </w:r>
      <w:r>
        <w:rPr>
          <w:rFonts w:hint="eastAsia" w:ascii="宋体" w:hAnsi="宋体"/>
          <w:sz w:val="24"/>
        </w:rPr>
        <w:t>本磋商文件的解释权属于采购人及采购代理机构。</w:t>
      </w:r>
    </w:p>
    <w:p>
      <w:pPr>
        <w:pStyle w:val="2"/>
        <w:numPr>
          <w:ilvl w:val="0"/>
          <w:numId w:val="0"/>
        </w:numPr>
        <w:spacing w:before="0" w:after="0" w:line="360" w:lineRule="auto"/>
        <w:rPr>
          <w:rFonts w:ascii="宋体" w:hAnsi="宋体"/>
          <w:sz w:val="28"/>
          <w:szCs w:val="24"/>
        </w:rPr>
      </w:pPr>
      <w:bookmarkStart w:id="87" w:name="_Toc146043896"/>
      <w:r>
        <w:rPr>
          <w:rFonts w:hint="eastAsia" w:ascii="宋体" w:hAnsi="宋体"/>
          <w:sz w:val="28"/>
          <w:szCs w:val="24"/>
        </w:rPr>
        <w:t>第四章  项目需求</w:t>
      </w:r>
      <w:bookmarkEnd w:id="87"/>
      <w:bookmarkStart w:id="88" w:name="_Toc36815850"/>
      <w:bookmarkStart w:id="89" w:name="_Toc11281"/>
    </w:p>
    <w:p>
      <w:pPr>
        <w:pStyle w:val="4"/>
        <w:tabs>
          <w:tab w:val="left" w:pos="720"/>
        </w:tabs>
        <w:ind w:firstLine="482" w:firstLineChars="200"/>
        <w:rPr>
          <w:rFonts w:ascii="宋体" w:hAnsi="宋体"/>
        </w:rPr>
      </w:pPr>
      <w:bookmarkStart w:id="90" w:name="_Toc146043897"/>
      <w:bookmarkStart w:id="91" w:name="_Toc88839303"/>
      <w:r>
        <w:rPr>
          <w:rFonts w:ascii="宋体" w:hAnsi="宋体"/>
        </w:rPr>
        <w:t>1．用途</w:t>
      </w:r>
      <w:bookmarkEnd w:id="90"/>
      <w:bookmarkEnd w:id="91"/>
    </w:p>
    <w:p>
      <w:pPr>
        <w:spacing w:line="360" w:lineRule="auto"/>
        <w:ind w:left="359" w:leftChars="171" w:firstLine="480" w:firstLineChars="200"/>
        <w:rPr>
          <w:rFonts w:ascii="宋体" w:hAnsi="宋体"/>
          <w:sz w:val="24"/>
        </w:rPr>
      </w:pPr>
      <w:r>
        <w:rPr>
          <w:rFonts w:hint="eastAsia" w:ascii="宋体" w:hAnsi="宋体"/>
          <w:sz w:val="24"/>
          <w:szCs w:val="28"/>
        </w:rPr>
        <w:t>继续教育学院举办成人继续教育学习项目，为学员提供黑色手提包，供学员放置学习期间的资料等物品。</w:t>
      </w:r>
    </w:p>
    <w:p>
      <w:pPr>
        <w:pStyle w:val="4"/>
        <w:tabs>
          <w:tab w:val="left" w:pos="720"/>
        </w:tabs>
        <w:ind w:firstLine="482" w:firstLineChars="200"/>
        <w:rPr>
          <w:rFonts w:ascii="宋体" w:hAnsi="宋体"/>
        </w:rPr>
      </w:pPr>
      <w:bookmarkStart w:id="92" w:name="_Toc88839304"/>
      <w:bookmarkStart w:id="93" w:name="_Toc146043898"/>
      <w:r>
        <w:rPr>
          <w:rFonts w:ascii="宋体" w:hAnsi="宋体"/>
        </w:rPr>
        <w:t>2．</w:t>
      </w:r>
      <w:bookmarkEnd w:id="92"/>
      <w:bookmarkStart w:id="94" w:name="_Toc88839305"/>
      <w:r>
        <w:rPr>
          <w:rFonts w:ascii="宋体" w:hAnsi="宋体"/>
        </w:rPr>
        <w:t>配置要求</w:t>
      </w:r>
      <w:bookmarkEnd w:id="93"/>
      <w:bookmarkEnd w:id="94"/>
    </w:p>
    <w:p>
      <w:pPr>
        <w:pStyle w:val="7"/>
        <w:ind w:firstLine="480" w:firstLineChars="200"/>
        <w:rPr>
          <w:rFonts w:ascii="宋体" w:hAnsi="宋体"/>
          <w:sz w:val="24"/>
          <w:szCs w:val="28"/>
        </w:rPr>
      </w:pPr>
      <w:r>
        <w:rPr>
          <w:rFonts w:hint="eastAsia" w:ascii="宋体" w:hAnsi="宋体"/>
          <w:sz w:val="24"/>
          <w:szCs w:val="28"/>
        </w:rPr>
        <w:t>黑色手提包</w:t>
      </w:r>
      <w:r>
        <w:rPr>
          <w:rFonts w:ascii="宋体" w:hAnsi="宋体"/>
          <w:sz w:val="24"/>
          <w:szCs w:val="28"/>
        </w:rPr>
        <w:t>13000个</w:t>
      </w:r>
    </w:p>
    <w:p>
      <w:pPr>
        <w:pStyle w:val="4"/>
        <w:tabs>
          <w:tab w:val="left" w:pos="720"/>
        </w:tabs>
        <w:ind w:firstLine="482" w:firstLineChars="200"/>
        <w:rPr>
          <w:rFonts w:ascii="宋体" w:hAnsi="宋体"/>
        </w:rPr>
      </w:pPr>
      <w:bookmarkStart w:id="95" w:name="_Toc88839306"/>
      <w:bookmarkStart w:id="96" w:name="_Toc146043899"/>
      <w:r>
        <w:rPr>
          <w:rFonts w:hint="eastAsia" w:ascii="宋体" w:hAnsi="宋体"/>
        </w:rPr>
        <w:t>3</w:t>
      </w:r>
      <w:r>
        <w:rPr>
          <w:rFonts w:ascii="宋体" w:hAnsi="宋体"/>
        </w:rPr>
        <w:t>．技术要求</w:t>
      </w:r>
      <w:bookmarkEnd w:id="95"/>
      <w:bookmarkEnd w:id="96"/>
    </w:p>
    <w:p>
      <w:pPr>
        <w:pStyle w:val="384"/>
        <w:adjustRightInd w:val="0"/>
        <w:snapToGrid w:val="0"/>
        <w:spacing w:line="360" w:lineRule="auto"/>
        <w:ind w:firstLine="360" w:firstLineChars="150"/>
        <w:rPr>
          <w:rFonts w:hint="default" w:ascii="宋体" w:hAnsi="宋体" w:eastAsia="宋体"/>
          <w:color w:val="auto"/>
          <w:sz w:val="24"/>
          <w:szCs w:val="24"/>
        </w:rPr>
      </w:pPr>
      <w:r>
        <w:rPr>
          <w:rFonts w:ascii="宋体" w:hAnsi="宋体" w:eastAsia="宋体"/>
          <w:color w:val="auto"/>
          <w:sz w:val="24"/>
          <w:szCs w:val="24"/>
        </w:rPr>
        <w:t>黑色手提包，控制单价不高于30元/个，技术要求：</w:t>
      </w:r>
    </w:p>
    <w:p>
      <w:pPr>
        <w:spacing w:line="360" w:lineRule="auto"/>
        <w:ind w:firstLine="424" w:firstLineChars="177"/>
        <w:rPr>
          <w:rFonts w:ascii="宋体" w:hAnsi="宋体"/>
          <w:sz w:val="24"/>
          <w:szCs w:val="28"/>
        </w:rPr>
      </w:pPr>
      <w:r>
        <w:rPr>
          <w:rFonts w:hint="eastAsia" w:ascii="宋体" w:hAnsi="宋体"/>
          <w:sz w:val="24"/>
          <w:szCs w:val="28"/>
        </w:rPr>
        <w:t>3.1 包身：尺寸合理，能够装置A4尺寸学习资料或15吋笔记本电脑；参考尺寸：宽29*高35*侧边宽14cm。</w:t>
      </w:r>
    </w:p>
    <w:p>
      <w:pPr>
        <w:spacing w:line="360" w:lineRule="auto"/>
        <w:ind w:firstLine="424" w:firstLineChars="177"/>
        <w:rPr>
          <w:rFonts w:ascii="宋体" w:hAnsi="宋体"/>
          <w:sz w:val="24"/>
          <w:szCs w:val="28"/>
        </w:rPr>
      </w:pPr>
      <w:r>
        <w:rPr>
          <w:rFonts w:hint="eastAsia" w:ascii="宋体" w:hAnsi="宋体"/>
          <w:sz w:val="24"/>
          <w:szCs w:val="28"/>
        </w:rPr>
        <w:t>3.2 提手带：两条提带，要求坚固耐用。参考尺寸：宽4cm*长50cm(包身以上部分）。</w:t>
      </w:r>
    </w:p>
    <w:p>
      <w:pPr>
        <w:spacing w:line="360" w:lineRule="auto"/>
        <w:ind w:firstLine="424" w:firstLineChars="177"/>
        <w:rPr>
          <w:rFonts w:ascii="宋体" w:hAnsi="宋体"/>
          <w:sz w:val="24"/>
          <w:szCs w:val="28"/>
        </w:rPr>
      </w:pPr>
      <w:r>
        <w:rPr>
          <w:rFonts w:hint="eastAsia" w:ascii="宋体" w:hAnsi="宋体"/>
          <w:sz w:val="24"/>
          <w:szCs w:val="28"/>
        </w:rPr>
        <w:t>3.3 结构：要求有内袋，内袋结构功能设计合理；包身两侧有侧仓，可以放置水杯或雨伞；</w:t>
      </w:r>
    </w:p>
    <w:p>
      <w:pPr>
        <w:spacing w:line="360" w:lineRule="auto"/>
        <w:ind w:firstLine="424" w:firstLineChars="177"/>
        <w:rPr>
          <w:rFonts w:ascii="宋体" w:hAnsi="宋体"/>
          <w:sz w:val="24"/>
          <w:szCs w:val="28"/>
        </w:rPr>
      </w:pPr>
      <w:r>
        <w:rPr>
          <w:rFonts w:hint="eastAsia" w:ascii="宋体" w:hAnsi="宋体"/>
          <w:sz w:val="24"/>
          <w:szCs w:val="28"/>
        </w:rPr>
        <w:t>3.4包口缝拉链，包正面右下边钉清华大学金属校徽，包背面配隐藏内袋：拉链用高质量拉链。</w:t>
      </w:r>
    </w:p>
    <w:p>
      <w:pPr>
        <w:spacing w:line="360" w:lineRule="auto"/>
        <w:ind w:firstLine="424" w:firstLineChars="177"/>
        <w:rPr>
          <w:rFonts w:ascii="宋体" w:hAnsi="宋体"/>
          <w:sz w:val="24"/>
          <w:szCs w:val="28"/>
        </w:rPr>
      </w:pPr>
      <w:r>
        <w:rPr>
          <w:rFonts w:hint="eastAsia" w:ascii="宋体" w:hAnsi="宋体"/>
          <w:sz w:val="24"/>
          <w:szCs w:val="28"/>
        </w:rPr>
        <w:t>3.5 面料：面料采用不低于900D牛津布材料，里料材质采用不低于210D加密聚酯纤维。织法、纹路不限，抗撕拉、耐磨，环保无异味，符合行业环保质量标准。</w:t>
      </w:r>
    </w:p>
    <w:p>
      <w:pPr>
        <w:spacing w:line="360" w:lineRule="auto"/>
        <w:ind w:firstLine="424" w:firstLineChars="177"/>
        <w:rPr>
          <w:rFonts w:ascii="宋体" w:hAnsi="宋体"/>
          <w:sz w:val="24"/>
          <w:szCs w:val="28"/>
        </w:rPr>
      </w:pPr>
      <w:r>
        <w:rPr>
          <w:rFonts w:hint="eastAsia" w:ascii="宋体" w:hAnsi="宋体"/>
          <w:sz w:val="24"/>
          <w:szCs w:val="28"/>
        </w:rPr>
        <w:t>3.6 所有面料、印染不掉色。</w:t>
      </w:r>
    </w:p>
    <w:p>
      <w:pPr>
        <w:pStyle w:val="4"/>
        <w:tabs>
          <w:tab w:val="left" w:pos="720"/>
        </w:tabs>
        <w:ind w:firstLine="482" w:firstLineChars="200"/>
        <w:rPr>
          <w:rFonts w:ascii="宋体" w:hAnsi="宋体"/>
        </w:rPr>
      </w:pPr>
      <w:bookmarkStart w:id="97" w:name="_Toc146043900"/>
      <w:r>
        <w:rPr>
          <w:rFonts w:hint="eastAsia" w:ascii="宋体" w:hAnsi="宋体"/>
        </w:rPr>
        <w:t>4. 服务要求</w:t>
      </w:r>
      <w:bookmarkEnd w:id="97"/>
    </w:p>
    <w:p>
      <w:pPr>
        <w:adjustRightInd w:val="0"/>
        <w:snapToGrid w:val="0"/>
        <w:spacing w:line="360" w:lineRule="auto"/>
        <w:ind w:firstLine="480" w:firstLineChars="200"/>
        <w:rPr>
          <w:rFonts w:ascii="宋体" w:hAnsi="宋体"/>
          <w:sz w:val="24"/>
        </w:rPr>
      </w:pPr>
      <w:r>
        <w:rPr>
          <w:rFonts w:hint="eastAsia" w:ascii="宋体" w:hAnsi="宋体"/>
          <w:sz w:val="24"/>
        </w:rPr>
        <w:t>4.1 订购方式：中标人根据采购人提交的《生产订单》（单次订单数量不低于5000个）的产品类别及数量进行生产。</w:t>
      </w:r>
    </w:p>
    <w:p>
      <w:pPr>
        <w:adjustRightInd w:val="0"/>
        <w:snapToGrid w:val="0"/>
        <w:spacing w:line="360" w:lineRule="auto"/>
        <w:ind w:firstLine="480" w:firstLineChars="200"/>
        <w:rPr>
          <w:rFonts w:ascii="宋体" w:hAnsi="宋体"/>
          <w:sz w:val="24"/>
        </w:rPr>
      </w:pPr>
      <w:r>
        <w:rPr>
          <w:rFonts w:hint="eastAsia" w:ascii="宋体" w:hAnsi="宋体"/>
          <w:sz w:val="24"/>
        </w:rPr>
        <w:t>★4.2送货响应：合同签订后，在提交《生产订单》后，中标人必须保证45天内交货，并按采购人要求送至指定地点，不得以任何理由延期供货或出现断货现象。</w:t>
      </w:r>
    </w:p>
    <w:p>
      <w:pPr>
        <w:adjustRightInd w:val="0"/>
        <w:snapToGrid w:val="0"/>
        <w:spacing w:line="360" w:lineRule="auto"/>
        <w:ind w:firstLine="480" w:firstLineChars="200"/>
        <w:rPr>
          <w:rFonts w:ascii="宋体" w:hAnsi="宋体"/>
          <w:sz w:val="24"/>
        </w:rPr>
      </w:pPr>
      <w:r>
        <w:rPr>
          <w:rFonts w:hint="eastAsia" w:ascii="宋体" w:hAnsi="宋体"/>
          <w:sz w:val="24"/>
        </w:rPr>
        <w:t>4.3 产品质量：保证产品的完好无损及使用时不发生质量事故。货物接收后在发放过程中，如有质量问题或数量短缺，中标人应无条件负责补充和更换。</w:t>
      </w:r>
    </w:p>
    <w:p>
      <w:pPr>
        <w:adjustRightInd w:val="0"/>
        <w:snapToGrid w:val="0"/>
        <w:spacing w:line="360" w:lineRule="auto"/>
        <w:ind w:firstLine="480" w:firstLineChars="200"/>
        <w:rPr>
          <w:rFonts w:ascii="宋体" w:hAnsi="宋体"/>
          <w:sz w:val="24"/>
        </w:rPr>
      </w:pPr>
      <w:r>
        <w:rPr>
          <w:rFonts w:hint="eastAsia" w:ascii="宋体" w:hAnsi="宋体"/>
          <w:sz w:val="24"/>
        </w:rPr>
        <w:t>4.4 残次品更换：中标人应对残次品进行更换，或者从价款中扣除。</w:t>
      </w:r>
    </w:p>
    <w:p>
      <w:pPr>
        <w:adjustRightInd w:val="0"/>
        <w:snapToGrid w:val="0"/>
        <w:spacing w:line="360" w:lineRule="auto"/>
        <w:ind w:firstLine="480" w:firstLineChars="200"/>
        <w:rPr>
          <w:rFonts w:ascii="宋体" w:hAnsi="宋体"/>
          <w:sz w:val="24"/>
        </w:rPr>
      </w:pPr>
      <w:r>
        <w:rPr>
          <w:rFonts w:hint="eastAsia" w:ascii="宋体" w:hAnsi="宋体"/>
          <w:sz w:val="24"/>
        </w:rPr>
        <w:t>4.5 产品包装：</w:t>
      </w:r>
    </w:p>
    <w:p>
      <w:pPr>
        <w:adjustRightInd w:val="0"/>
        <w:snapToGrid w:val="0"/>
        <w:spacing w:line="360" w:lineRule="auto"/>
        <w:ind w:firstLine="480" w:firstLineChars="200"/>
        <w:rPr>
          <w:rFonts w:ascii="宋体" w:hAnsi="宋体"/>
          <w:sz w:val="24"/>
        </w:rPr>
      </w:pPr>
      <w:r>
        <w:rPr>
          <w:rFonts w:hint="eastAsia" w:ascii="宋体" w:hAnsi="宋体"/>
          <w:sz w:val="24"/>
        </w:rPr>
        <w:t>（1）外箱包装：要求使用纸箱完整、结实，多个装一箱。外部应有醒目的产品品类标识。产品表面及内部不得出现任何形式的广告类宣传标识。</w:t>
      </w:r>
    </w:p>
    <w:p>
      <w:pPr>
        <w:adjustRightInd w:val="0"/>
        <w:snapToGrid w:val="0"/>
        <w:spacing w:line="360" w:lineRule="auto"/>
        <w:ind w:firstLine="480" w:firstLineChars="200"/>
        <w:rPr>
          <w:rFonts w:ascii="宋体" w:hAnsi="宋体"/>
          <w:sz w:val="24"/>
        </w:rPr>
      </w:pPr>
      <w:r>
        <w:rPr>
          <w:rFonts w:hint="eastAsia" w:ascii="宋体" w:hAnsi="宋体"/>
          <w:sz w:val="24"/>
        </w:rPr>
        <w:t>（2） 箱内包装：要求单个产品有单独塑料质地包装，要防水。</w:t>
      </w:r>
    </w:p>
    <w:p>
      <w:pPr>
        <w:adjustRightInd w:val="0"/>
        <w:snapToGrid w:val="0"/>
        <w:spacing w:line="360" w:lineRule="auto"/>
        <w:ind w:firstLine="480" w:firstLineChars="200"/>
        <w:rPr>
          <w:rFonts w:ascii="宋体" w:hAnsi="宋体"/>
          <w:sz w:val="24"/>
        </w:rPr>
      </w:pPr>
      <w:r>
        <w:rPr>
          <w:rFonts w:hint="eastAsia" w:ascii="宋体" w:hAnsi="宋体"/>
          <w:sz w:val="24"/>
        </w:rPr>
        <w:t>4.6 产品保修按照国家“三包”规定。</w:t>
      </w:r>
    </w:p>
    <w:p>
      <w:pPr>
        <w:pStyle w:val="4"/>
        <w:tabs>
          <w:tab w:val="left" w:pos="720"/>
        </w:tabs>
        <w:snapToGrid w:val="0"/>
        <w:spacing w:before="0" w:after="0" w:line="360" w:lineRule="auto"/>
        <w:ind w:firstLine="482" w:firstLineChars="200"/>
        <w:rPr>
          <w:rFonts w:ascii="宋体" w:hAnsi="宋体"/>
          <w:szCs w:val="24"/>
        </w:rPr>
      </w:pPr>
      <w:bookmarkStart w:id="98" w:name="_Toc146043901"/>
      <w:r>
        <w:rPr>
          <w:rFonts w:hint="eastAsia" w:ascii="宋体" w:hAnsi="宋体"/>
          <w:szCs w:val="24"/>
        </w:rPr>
        <w:t>5</w:t>
      </w:r>
      <w:r>
        <w:rPr>
          <w:rFonts w:ascii="宋体" w:hAnsi="宋体"/>
          <w:szCs w:val="24"/>
        </w:rPr>
        <w:t>．</w:t>
      </w:r>
      <w:r>
        <w:rPr>
          <w:rFonts w:hint="eastAsia" w:ascii="宋体" w:hAnsi="宋体"/>
          <w:szCs w:val="24"/>
        </w:rPr>
        <w:t>样品要求</w:t>
      </w:r>
      <w:bookmarkEnd w:id="98"/>
    </w:p>
    <w:p>
      <w:pPr>
        <w:pStyle w:val="7"/>
        <w:snapToGrid w:val="0"/>
        <w:spacing w:line="360" w:lineRule="auto"/>
        <w:rPr>
          <w:rFonts w:ascii="宋体" w:hAnsi="宋体"/>
          <w:sz w:val="24"/>
          <w:szCs w:val="24"/>
        </w:rPr>
      </w:pPr>
      <w:r>
        <w:rPr>
          <w:rFonts w:hint="eastAsia" w:ascii="宋体" w:hAnsi="宋体"/>
          <w:sz w:val="24"/>
          <w:szCs w:val="24"/>
        </w:rPr>
        <w:t>（1）投标人提交样品1个，样品的相关要求按照技术要求中第3.1-3.</w:t>
      </w:r>
      <w:r>
        <w:rPr>
          <w:rFonts w:ascii="宋体" w:hAnsi="宋体"/>
          <w:sz w:val="24"/>
          <w:szCs w:val="24"/>
        </w:rPr>
        <w:t>6</w:t>
      </w:r>
      <w:r>
        <w:rPr>
          <w:rFonts w:hint="eastAsia" w:ascii="宋体" w:hAnsi="宋体"/>
          <w:sz w:val="24"/>
          <w:szCs w:val="24"/>
        </w:rPr>
        <w:t>条款。</w:t>
      </w:r>
    </w:p>
    <w:p>
      <w:pPr>
        <w:pStyle w:val="7"/>
        <w:snapToGrid w:val="0"/>
        <w:spacing w:line="360" w:lineRule="auto"/>
        <w:rPr>
          <w:rFonts w:ascii="宋体" w:hAnsi="宋体"/>
          <w:sz w:val="24"/>
          <w:szCs w:val="24"/>
        </w:rPr>
      </w:pPr>
      <w:r>
        <w:rPr>
          <w:rFonts w:hint="eastAsia" w:ascii="宋体" w:hAnsi="宋体"/>
          <w:sz w:val="24"/>
          <w:szCs w:val="24"/>
        </w:rPr>
        <w:t>（2）样品上应注明商标或供应商名称，将样品运送至指定地点并交付给指定联系人、样品评标之前（递交当日）的样品运输由供应商负责，相关的样品运输费用、保险、保管、样品灭失及毁损的风险亦由供应商承担。</w:t>
      </w:r>
    </w:p>
    <w:p>
      <w:pPr>
        <w:pStyle w:val="7"/>
        <w:snapToGrid w:val="0"/>
        <w:spacing w:line="360" w:lineRule="auto"/>
        <w:rPr>
          <w:rFonts w:ascii="宋体" w:hAnsi="宋体"/>
          <w:sz w:val="24"/>
          <w:szCs w:val="24"/>
        </w:rPr>
      </w:pPr>
      <w:r>
        <w:rPr>
          <w:rFonts w:hint="eastAsia" w:ascii="宋体" w:hAnsi="宋体"/>
          <w:sz w:val="24"/>
          <w:szCs w:val="24"/>
        </w:rPr>
        <w:t>（3）投标样品提交截止时间：同开标时间，逾期送达将不予签收。</w:t>
      </w:r>
    </w:p>
    <w:p>
      <w:pPr>
        <w:pStyle w:val="7"/>
        <w:snapToGrid w:val="0"/>
        <w:spacing w:line="360" w:lineRule="auto"/>
        <w:rPr>
          <w:rFonts w:ascii="宋体" w:hAnsi="宋体"/>
          <w:sz w:val="24"/>
          <w:szCs w:val="24"/>
        </w:rPr>
      </w:pPr>
      <w:r>
        <w:rPr>
          <w:rFonts w:hint="eastAsia" w:ascii="宋体" w:hAnsi="宋体"/>
          <w:sz w:val="24"/>
          <w:szCs w:val="24"/>
        </w:rPr>
        <w:t>（4）样品提交地址：同开标地点，样品的摆放需听从现场工作人员指挥。</w:t>
      </w:r>
    </w:p>
    <w:p>
      <w:pPr>
        <w:pStyle w:val="7"/>
        <w:snapToGrid w:val="0"/>
        <w:spacing w:line="360" w:lineRule="auto"/>
        <w:rPr>
          <w:rFonts w:ascii="宋体" w:hAnsi="宋体"/>
          <w:sz w:val="24"/>
          <w:szCs w:val="24"/>
        </w:rPr>
      </w:pPr>
      <w:r>
        <w:rPr>
          <w:rFonts w:hint="eastAsia" w:ascii="宋体" w:hAnsi="宋体"/>
          <w:sz w:val="24"/>
          <w:szCs w:val="24"/>
        </w:rPr>
        <w:t>（5）中标人的投标样品将不予退还，封存作为合同签订、供货及验收的依据。未中标供应商的投标样品将在中标结果公布后的第十至十五个工作日办理退还手续。供应商如未获中标，应在规定的时间内尽快将投标样品取回，逾期未领回的样品按无主物品处理，由此造成的损失由投标人自行承担。供应商提交样品并参加投标，视为认可此项规定。</w:t>
      </w:r>
    </w:p>
    <w:p>
      <w:pPr>
        <w:pStyle w:val="4"/>
        <w:tabs>
          <w:tab w:val="left" w:pos="720"/>
        </w:tabs>
        <w:snapToGrid w:val="0"/>
        <w:spacing w:before="0" w:after="0" w:line="360" w:lineRule="auto"/>
        <w:ind w:firstLine="482" w:firstLineChars="200"/>
        <w:rPr>
          <w:rFonts w:ascii="宋体" w:hAnsi="宋体"/>
          <w:szCs w:val="24"/>
        </w:rPr>
      </w:pPr>
      <w:bookmarkStart w:id="99" w:name="_Toc146043902"/>
      <w:r>
        <w:rPr>
          <w:rFonts w:hint="eastAsia" w:ascii="宋体" w:hAnsi="宋体"/>
          <w:szCs w:val="24"/>
        </w:rPr>
        <w:t>6. 其他说明</w:t>
      </w:r>
      <w:bookmarkEnd w:id="99"/>
    </w:p>
    <w:p>
      <w:pPr>
        <w:pStyle w:val="7"/>
        <w:snapToGrid w:val="0"/>
        <w:spacing w:line="360" w:lineRule="auto"/>
        <w:rPr>
          <w:rFonts w:ascii="宋体" w:hAnsi="宋体"/>
          <w:sz w:val="24"/>
          <w:szCs w:val="24"/>
        </w:rPr>
      </w:pPr>
      <w:r>
        <w:rPr>
          <w:rFonts w:hint="eastAsia" w:ascii="宋体" w:hAnsi="宋体"/>
          <w:sz w:val="24"/>
          <w:szCs w:val="24"/>
        </w:rPr>
        <w:t>采购人因实际情况可能对采购数量进行调整，具体以实际发生为准。</w:t>
      </w:r>
    </w:p>
    <w:p>
      <w:pPr>
        <w:pStyle w:val="4"/>
        <w:tabs>
          <w:tab w:val="left" w:pos="720"/>
        </w:tabs>
        <w:snapToGrid w:val="0"/>
        <w:spacing w:before="0" w:after="0" w:line="360" w:lineRule="auto"/>
        <w:ind w:firstLine="482" w:firstLineChars="200"/>
        <w:rPr>
          <w:rFonts w:ascii="宋体" w:hAnsi="宋体"/>
          <w:szCs w:val="24"/>
        </w:rPr>
      </w:pPr>
      <w:bookmarkStart w:id="100" w:name="_Toc146043903"/>
      <w:r>
        <w:rPr>
          <w:rFonts w:hint="eastAsia" w:ascii="宋体" w:hAnsi="宋体"/>
          <w:szCs w:val="24"/>
        </w:rPr>
        <w:t>7. 验收标准</w:t>
      </w:r>
      <w:bookmarkEnd w:id="100"/>
    </w:p>
    <w:p>
      <w:pPr>
        <w:pStyle w:val="7"/>
        <w:snapToGrid w:val="0"/>
        <w:spacing w:line="360" w:lineRule="auto"/>
        <w:rPr>
          <w:rFonts w:ascii="宋体" w:hAnsi="宋体"/>
          <w:sz w:val="24"/>
          <w:szCs w:val="24"/>
        </w:rPr>
      </w:pPr>
      <w:r>
        <w:rPr>
          <w:rFonts w:hint="eastAsia" w:ascii="宋体" w:hAnsi="宋体"/>
          <w:sz w:val="24"/>
          <w:szCs w:val="24"/>
        </w:rPr>
        <w:t>生产过程中，采购人可以随时到加工厂进行巡查、监督，并对产品的基材抽样送检，送检费用由供应商负责（生产过程中包含一次抽样送检，送检费用由供应商负责），如果抽检不合格，供应商应在采购人规定的时间内进行整改，并承担由此产生的全部费用，由此给采购人造成损失的由供应商承担责任和相关费用。</w:t>
      </w:r>
    </w:p>
    <w:p>
      <w:pPr>
        <w:pStyle w:val="7"/>
        <w:snapToGrid w:val="0"/>
        <w:spacing w:line="360" w:lineRule="auto"/>
        <w:rPr>
          <w:rFonts w:ascii="宋体" w:hAnsi="宋体"/>
          <w:sz w:val="24"/>
          <w:szCs w:val="24"/>
        </w:rPr>
      </w:pPr>
      <w:r>
        <w:rPr>
          <w:rFonts w:hint="eastAsia" w:ascii="宋体" w:hAnsi="宋体"/>
          <w:sz w:val="24"/>
          <w:szCs w:val="24"/>
        </w:rPr>
        <w:t>供应商保证向采购人提供的合同产品为原装、全新、完整、未使用过的产品，具有产品出厂合格证明。供应商提供的产品必须符合以下标准：</w:t>
      </w:r>
    </w:p>
    <w:p>
      <w:pPr>
        <w:pStyle w:val="7"/>
        <w:snapToGrid w:val="0"/>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产品附录所载明的质量标准。</w:t>
      </w:r>
    </w:p>
    <w:p>
      <w:pPr>
        <w:pStyle w:val="7"/>
        <w:snapToGrid w:val="0"/>
        <w:spacing w:line="360" w:lineRule="auto"/>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国家规定的产品质量标准。</w:t>
      </w:r>
    </w:p>
    <w:p>
      <w:pPr>
        <w:pStyle w:val="7"/>
        <w:snapToGrid w:val="0"/>
        <w:spacing w:line="360" w:lineRule="auto"/>
        <w:rPr>
          <w:rFonts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行业质量标准。</w:t>
      </w:r>
    </w:p>
    <w:p>
      <w:pPr>
        <w:pStyle w:val="7"/>
        <w:snapToGrid w:val="0"/>
        <w:spacing w:line="360" w:lineRule="auto"/>
        <w:rPr>
          <w:rFonts w:ascii="宋体" w:hAnsi="宋体"/>
          <w:sz w:val="24"/>
          <w:szCs w:val="24"/>
        </w:rPr>
      </w:pPr>
      <w:r>
        <w:rPr>
          <w:rFonts w:hint="eastAsia" w:ascii="宋体" w:hAnsi="宋体"/>
          <w:sz w:val="24"/>
          <w:szCs w:val="24"/>
        </w:rPr>
        <w:t>供应商应在产品到达现场前，向采购人提供详细的货物供货清单，由采购人确认。如发现所提供货物的品质和技术规范不符合合同要求而给采购人带来损失，采购人有权向供应商提出索赔。货物运抵现场后，采购人应在10日内组织抽检验收，当满足以下条件时，即为验收合格：</w:t>
      </w:r>
    </w:p>
    <w:p>
      <w:pPr>
        <w:pStyle w:val="7"/>
        <w:snapToGrid w:val="0"/>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货物符合招标文件、招标样品以及技术规格书的要求，性能满足要求。</w:t>
      </w:r>
    </w:p>
    <w:p>
      <w:pPr>
        <w:pStyle w:val="7"/>
        <w:snapToGrid w:val="0"/>
        <w:spacing w:line="360" w:lineRule="auto"/>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货物应具备产品合格证。</w:t>
      </w:r>
    </w:p>
    <w:p>
      <w:pPr>
        <w:pStyle w:val="7"/>
        <w:snapToGrid w:val="0"/>
        <w:spacing w:line="360" w:lineRule="auto"/>
        <w:rPr>
          <w:rFonts w:ascii="宋体" w:hAnsi="宋体"/>
          <w:sz w:val="24"/>
          <w:szCs w:val="24"/>
        </w:rPr>
      </w:pPr>
      <w:r>
        <w:rPr>
          <w:rFonts w:hint="eastAsia" w:ascii="宋体" w:hAnsi="宋体"/>
          <w:sz w:val="24"/>
          <w:szCs w:val="24"/>
        </w:rPr>
        <w:t>货物发放过程中发现货物出现质量问题，按照4.6执行。</w:t>
      </w:r>
    </w:p>
    <w:p>
      <w:pPr>
        <w:pStyle w:val="4"/>
        <w:numPr>
          <w:ilvl w:val="0"/>
          <w:numId w:val="8"/>
        </w:numPr>
        <w:tabs>
          <w:tab w:val="left" w:pos="720"/>
        </w:tabs>
        <w:snapToGrid w:val="0"/>
        <w:spacing w:before="0" w:after="0" w:line="360" w:lineRule="auto"/>
        <w:ind w:left="284" w:firstLine="482" w:firstLineChars="200"/>
        <w:rPr>
          <w:rFonts w:ascii="宋体" w:hAnsi="宋体"/>
          <w:szCs w:val="24"/>
        </w:rPr>
      </w:pPr>
      <w:bookmarkStart w:id="101" w:name="_Toc146043904"/>
      <w:r>
        <w:rPr>
          <w:rFonts w:hint="eastAsia" w:ascii="宋体" w:hAnsi="宋体"/>
          <w:szCs w:val="24"/>
        </w:rPr>
        <w:t>交货地点</w:t>
      </w:r>
      <w:bookmarkEnd w:id="101"/>
    </w:p>
    <w:p>
      <w:pPr>
        <w:pStyle w:val="7"/>
        <w:snapToGrid w:val="0"/>
        <w:spacing w:line="360" w:lineRule="auto"/>
        <w:rPr>
          <w:rFonts w:ascii="宋体" w:hAnsi="宋体"/>
        </w:rPr>
      </w:pPr>
      <w:r>
        <w:rPr>
          <w:rFonts w:hint="eastAsia" w:ascii="宋体" w:hAnsi="宋体"/>
          <w:sz w:val="24"/>
          <w:szCs w:val="24"/>
        </w:rPr>
        <w:t>清华大学用户指定地点</w:t>
      </w:r>
    </w:p>
    <w:p>
      <w:pPr>
        <w:widowControl/>
        <w:jc w:val="left"/>
        <w:rPr>
          <w:rFonts w:ascii="宋体" w:hAnsi="宋体"/>
        </w:rPr>
      </w:pPr>
      <w:r>
        <w:rPr>
          <w:rFonts w:ascii="宋体" w:hAnsi="宋体"/>
        </w:rPr>
        <w:br w:type="page"/>
      </w:r>
    </w:p>
    <w:bookmarkEnd w:id="88"/>
    <w:bookmarkEnd w:id="89"/>
    <w:p>
      <w:pPr>
        <w:pStyle w:val="2"/>
        <w:numPr>
          <w:ilvl w:val="0"/>
          <w:numId w:val="0"/>
        </w:numPr>
        <w:spacing w:before="0" w:after="0" w:line="360" w:lineRule="auto"/>
        <w:ind w:left="180"/>
        <w:rPr>
          <w:rFonts w:ascii="宋体" w:hAnsi="宋体"/>
          <w:sz w:val="28"/>
          <w:szCs w:val="24"/>
        </w:rPr>
      </w:pPr>
      <w:bookmarkStart w:id="102" w:name="_Toc146043905"/>
      <w:r>
        <w:rPr>
          <w:rFonts w:hint="eastAsia" w:ascii="宋体" w:hAnsi="宋体"/>
          <w:sz w:val="28"/>
          <w:szCs w:val="24"/>
        </w:rPr>
        <w:t>第五章  评审办法及评分标准</w:t>
      </w:r>
      <w:bookmarkEnd w:id="102"/>
    </w:p>
    <w:p>
      <w:pPr>
        <w:pStyle w:val="3"/>
      </w:pPr>
      <w:bookmarkStart w:id="103" w:name="_Toc146043906"/>
      <w:r>
        <w:rPr>
          <w:rFonts w:hint="eastAsia"/>
        </w:rPr>
        <w:t>一、有关说明</w:t>
      </w:r>
      <w:bookmarkEnd w:id="103"/>
    </w:p>
    <w:p>
      <w:pPr>
        <w:spacing w:line="360" w:lineRule="auto"/>
        <w:rPr>
          <w:rFonts w:ascii="宋体" w:hAnsi="宋体"/>
          <w:b/>
          <w:bCs/>
          <w:sz w:val="24"/>
        </w:rPr>
      </w:pPr>
      <w:r>
        <w:rPr>
          <w:rFonts w:hint="eastAsia" w:ascii="宋体" w:hAnsi="宋体"/>
          <w:b/>
          <w:bCs/>
          <w:sz w:val="24"/>
        </w:rPr>
        <w:t>（一）价格扣除及加分项</w:t>
      </w:r>
    </w:p>
    <w:p>
      <w:pPr>
        <w:spacing w:line="360" w:lineRule="auto"/>
        <w:rPr>
          <w:rFonts w:ascii="宋体" w:hAnsi="宋体"/>
          <w:sz w:val="24"/>
        </w:rPr>
      </w:pPr>
      <w:r>
        <w:rPr>
          <w:rFonts w:ascii="宋体" w:hAnsi="宋体"/>
          <w:sz w:val="24"/>
        </w:rPr>
        <w:t>1、关于</w:t>
      </w:r>
      <w:r>
        <w:rPr>
          <w:rFonts w:hint="eastAsia" w:ascii="宋体" w:hAnsi="宋体"/>
          <w:sz w:val="24"/>
        </w:rPr>
        <w:t>中小企业：中小企业应当按照《政府采购促进中小企业发展管理办法》规定和《中小企业划型标准规定》（工信部联企业〔2011〕300号），如实填写并提交《中小企业声明函》。</w:t>
      </w:r>
    </w:p>
    <w:p>
      <w:pPr>
        <w:spacing w:line="360" w:lineRule="auto"/>
        <w:ind w:firstLine="480" w:firstLineChars="200"/>
        <w:rPr>
          <w:rFonts w:ascii="宋体" w:hAnsi="宋体"/>
          <w:sz w:val="24"/>
        </w:rPr>
      </w:pPr>
      <w:r>
        <w:rPr>
          <w:rFonts w:hint="eastAsia" w:ascii="宋体" w:hAnsi="宋体"/>
          <w:sz w:val="24"/>
        </w:rPr>
        <w:t>政府采购活动中，供应商提供的货物、工程或者服务符合下列情形的，享受《政府采购促进中小企业发展管理办法》规定的中小企业扶持政策：</w:t>
      </w:r>
    </w:p>
    <w:p>
      <w:pPr>
        <w:spacing w:line="360" w:lineRule="auto"/>
        <w:rPr>
          <w:rFonts w:ascii="宋体" w:hAnsi="宋体"/>
          <w:sz w:val="24"/>
        </w:rPr>
      </w:pPr>
      <w:r>
        <w:rPr>
          <w:rFonts w:hint="eastAsia" w:ascii="宋体" w:hAnsi="宋体"/>
          <w:sz w:val="24"/>
        </w:rPr>
        <w:t>（1）在货物采购项目中，全部货物由中小企业制造，即全部货物由中小企业生产且使用该中小企业商号或者注册商标；</w:t>
      </w:r>
    </w:p>
    <w:p>
      <w:pPr>
        <w:spacing w:line="360" w:lineRule="auto"/>
        <w:rPr>
          <w:rFonts w:ascii="宋体" w:hAnsi="宋体"/>
          <w:sz w:val="24"/>
        </w:rPr>
      </w:pPr>
      <w:r>
        <w:rPr>
          <w:rFonts w:hint="eastAsia" w:ascii="宋体" w:hAnsi="宋体"/>
          <w:sz w:val="24"/>
        </w:rPr>
        <w:t>（2）在工程采购项目中，工程由中小企业承建，即工程施工单位为中小企业；</w:t>
      </w:r>
    </w:p>
    <w:p>
      <w:pPr>
        <w:spacing w:line="360" w:lineRule="auto"/>
        <w:rPr>
          <w:rFonts w:ascii="宋体" w:hAnsi="宋体"/>
          <w:sz w:val="24"/>
        </w:rPr>
      </w:pPr>
      <w:r>
        <w:rPr>
          <w:rFonts w:hint="eastAsia" w:ascii="宋体" w:hAnsi="宋体"/>
          <w:sz w:val="24"/>
        </w:rPr>
        <w:t>（3）在服务采购项目中，服务由中小企业承接，即提供服务的人员为中小企业依照《中华人民共和国劳动合同法》订立劳动合同的从业人员。</w:t>
      </w:r>
    </w:p>
    <w:p>
      <w:pPr>
        <w:spacing w:line="360" w:lineRule="auto"/>
        <w:ind w:firstLine="424" w:firstLineChars="177"/>
        <w:rPr>
          <w:rFonts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pPr>
        <w:spacing w:line="360" w:lineRule="auto"/>
        <w:ind w:firstLine="424" w:firstLineChars="177"/>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pPr>
        <w:spacing w:line="360" w:lineRule="auto"/>
        <w:rPr>
          <w:rFonts w:ascii="宋体" w:hAnsi="宋体"/>
          <w:sz w:val="24"/>
        </w:rPr>
      </w:pPr>
      <w:r>
        <w:rPr>
          <w:rFonts w:ascii="宋体" w:hAnsi="宋体"/>
          <w:sz w:val="24"/>
        </w:rPr>
        <w:t>3、关于残疾人福利性单位：视同小微企业。须提供完整的“残疾人福利性单位声明函”。残疾人福利性单位属于小型、微型企业的，不重复享受政策。</w:t>
      </w:r>
    </w:p>
    <w:p>
      <w:pPr>
        <w:spacing w:line="360" w:lineRule="auto"/>
        <w:rPr>
          <w:rFonts w:ascii="宋体" w:hAnsi="宋体"/>
          <w:sz w:val="24"/>
        </w:rPr>
      </w:pPr>
      <w:r>
        <w:rPr>
          <w:rFonts w:ascii="宋体" w:hAnsi="宋体"/>
          <w:sz w:val="24"/>
        </w:rPr>
        <w:t>4、关于节能产品、环境标志产品：按规定加分。</w:t>
      </w:r>
    </w:p>
    <w:p>
      <w:pPr>
        <w:spacing w:line="360" w:lineRule="auto"/>
        <w:rPr>
          <w:rFonts w:ascii="宋体" w:hAnsi="宋体"/>
          <w:sz w:val="24"/>
        </w:rPr>
      </w:pPr>
      <w:r>
        <w:rPr>
          <w:rFonts w:ascii="宋体" w:hAnsi="宋体"/>
          <w:sz w:val="24"/>
        </w:rPr>
        <w:t>5、以上具体内容详见本章</w:t>
      </w:r>
      <w:r>
        <w:rPr>
          <w:rFonts w:hint="eastAsia" w:ascii="宋体" w:hAnsi="宋体"/>
          <w:sz w:val="24"/>
        </w:rPr>
        <w:t>评分办法附注</w:t>
      </w:r>
      <w:r>
        <w:rPr>
          <w:rFonts w:ascii="宋体" w:hAnsi="宋体"/>
          <w:sz w:val="24"/>
        </w:rPr>
        <w:t>。</w:t>
      </w:r>
    </w:p>
    <w:p>
      <w:pPr>
        <w:spacing w:line="360" w:lineRule="auto"/>
        <w:rPr>
          <w:rFonts w:ascii="宋体" w:hAnsi="宋体"/>
          <w:b/>
          <w:bCs/>
          <w:sz w:val="24"/>
        </w:rPr>
      </w:pPr>
      <w:r>
        <w:rPr>
          <w:rFonts w:hint="eastAsia" w:ascii="宋体" w:hAnsi="宋体"/>
          <w:b/>
          <w:bCs/>
          <w:sz w:val="24"/>
        </w:rPr>
        <w:t>（二）提供有关同品牌产品情况处理</w:t>
      </w:r>
    </w:p>
    <w:p>
      <w:pPr>
        <w:spacing w:line="360" w:lineRule="auto"/>
        <w:ind w:firstLine="480" w:firstLineChars="200"/>
        <w:rPr>
          <w:rFonts w:ascii="宋体" w:hAnsi="宋体"/>
          <w:sz w:val="24"/>
        </w:rPr>
      </w:pPr>
      <w:r>
        <w:rPr>
          <w:rFonts w:ascii="宋体" w:hAnsi="宋体"/>
          <w:sz w:val="24"/>
        </w:rPr>
        <w:t>1、提供相同品牌产品且通过资格审查、符合性审查的不同</w:t>
      </w:r>
      <w:r>
        <w:rPr>
          <w:rFonts w:hint="eastAsia" w:ascii="宋体" w:hAnsi="宋体"/>
          <w:sz w:val="24"/>
        </w:rPr>
        <w:t>供应商</w:t>
      </w:r>
      <w:r>
        <w:rPr>
          <w:rFonts w:ascii="宋体" w:hAnsi="宋体"/>
          <w:sz w:val="24"/>
        </w:rPr>
        <w:t>参加同一合同项下投标的，按一家</w:t>
      </w:r>
      <w:r>
        <w:rPr>
          <w:rFonts w:hint="eastAsia" w:ascii="宋体" w:hAnsi="宋体"/>
          <w:sz w:val="24"/>
        </w:rPr>
        <w:t>供应商</w:t>
      </w:r>
      <w:r>
        <w:rPr>
          <w:rFonts w:ascii="宋体" w:hAnsi="宋体"/>
          <w:sz w:val="24"/>
        </w:rPr>
        <w:t>计算，评审后得分最高的同品牌</w:t>
      </w:r>
      <w:r>
        <w:rPr>
          <w:rFonts w:hint="eastAsia" w:ascii="宋体" w:hAnsi="宋体"/>
          <w:sz w:val="24"/>
        </w:rPr>
        <w:t>供应商</w:t>
      </w:r>
      <w:r>
        <w:rPr>
          <w:rFonts w:ascii="宋体" w:hAnsi="宋体"/>
          <w:sz w:val="24"/>
        </w:rPr>
        <w:t>获得</w:t>
      </w:r>
      <w:r>
        <w:rPr>
          <w:rFonts w:hint="eastAsia" w:ascii="宋体" w:hAnsi="宋体"/>
          <w:sz w:val="24"/>
        </w:rPr>
        <w:t>成交</w:t>
      </w:r>
      <w:r>
        <w:rPr>
          <w:rFonts w:ascii="宋体" w:hAnsi="宋体"/>
          <w:sz w:val="24"/>
        </w:rPr>
        <w:t>人推荐资格；评审得分相同的，评</w:t>
      </w:r>
      <w:r>
        <w:rPr>
          <w:rFonts w:hint="eastAsia" w:ascii="宋体" w:hAnsi="宋体"/>
          <w:sz w:val="24"/>
        </w:rPr>
        <w:t>审</w:t>
      </w:r>
      <w:r>
        <w:rPr>
          <w:rFonts w:ascii="宋体" w:hAnsi="宋体"/>
          <w:sz w:val="24"/>
        </w:rPr>
        <w:t>价最低的</w:t>
      </w:r>
      <w:r>
        <w:rPr>
          <w:rFonts w:hint="eastAsia" w:ascii="宋体" w:hAnsi="宋体"/>
          <w:sz w:val="24"/>
        </w:rPr>
        <w:t>供应商</w:t>
      </w:r>
      <w:r>
        <w:rPr>
          <w:rFonts w:ascii="宋体" w:hAnsi="宋体"/>
          <w:sz w:val="24"/>
        </w:rPr>
        <w:t>获得</w:t>
      </w:r>
      <w:r>
        <w:rPr>
          <w:rFonts w:hint="eastAsia" w:ascii="宋体" w:hAnsi="宋体"/>
          <w:sz w:val="24"/>
        </w:rPr>
        <w:t>成交人</w:t>
      </w:r>
      <w:r>
        <w:rPr>
          <w:rFonts w:ascii="宋体" w:hAnsi="宋体"/>
          <w:sz w:val="24"/>
        </w:rPr>
        <w:t>推荐资格；得分和评</w:t>
      </w:r>
      <w:r>
        <w:rPr>
          <w:rFonts w:hint="eastAsia" w:ascii="宋体" w:hAnsi="宋体"/>
          <w:sz w:val="24"/>
        </w:rPr>
        <w:t>审</w:t>
      </w:r>
      <w:r>
        <w:rPr>
          <w:rFonts w:ascii="宋体" w:hAnsi="宋体"/>
          <w:sz w:val="24"/>
        </w:rPr>
        <w:t>价还相同的，由技术部分得分最高的</w:t>
      </w:r>
      <w:r>
        <w:rPr>
          <w:rFonts w:hint="eastAsia" w:ascii="宋体" w:hAnsi="宋体"/>
          <w:sz w:val="24"/>
        </w:rPr>
        <w:t>供应商</w:t>
      </w:r>
      <w:r>
        <w:rPr>
          <w:rFonts w:ascii="宋体" w:hAnsi="宋体"/>
          <w:sz w:val="24"/>
        </w:rPr>
        <w:t>获得</w:t>
      </w:r>
      <w:r>
        <w:rPr>
          <w:rFonts w:hint="eastAsia" w:ascii="宋体" w:hAnsi="宋体"/>
          <w:sz w:val="24"/>
        </w:rPr>
        <w:t>成交</w:t>
      </w:r>
      <w:r>
        <w:rPr>
          <w:rFonts w:ascii="宋体" w:hAnsi="宋体"/>
          <w:sz w:val="24"/>
        </w:rPr>
        <w:t>人推荐资格。其他同品牌</w:t>
      </w:r>
      <w:r>
        <w:rPr>
          <w:rFonts w:hint="eastAsia" w:ascii="宋体" w:hAnsi="宋体"/>
          <w:sz w:val="24"/>
        </w:rPr>
        <w:t>供应商</w:t>
      </w:r>
      <w:r>
        <w:rPr>
          <w:rFonts w:ascii="宋体" w:hAnsi="宋体"/>
          <w:sz w:val="24"/>
        </w:rPr>
        <w:t>不作为</w:t>
      </w:r>
      <w:r>
        <w:rPr>
          <w:rFonts w:hint="eastAsia" w:ascii="宋体" w:hAnsi="宋体"/>
          <w:sz w:val="24"/>
        </w:rPr>
        <w:t>成交</w:t>
      </w:r>
      <w:r>
        <w:rPr>
          <w:rFonts w:ascii="宋体" w:hAnsi="宋体"/>
          <w:sz w:val="24"/>
        </w:rPr>
        <w:t>候选人。</w:t>
      </w:r>
    </w:p>
    <w:p>
      <w:pPr>
        <w:spacing w:line="360" w:lineRule="auto"/>
        <w:ind w:firstLine="480" w:firstLineChars="200"/>
        <w:rPr>
          <w:rFonts w:ascii="宋体" w:hAnsi="宋体"/>
          <w:sz w:val="24"/>
        </w:rPr>
      </w:pPr>
      <w:r>
        <w:rPr>
          <w:rFonts w:ascii="宋体" w:hAnsi="宋体"/>
          <w:sz w:val="24"/>
        </w:rPr>
        <w:t>2、非单一产品采购项目，采购人根据采购项目技术构成、产品价格比重等在本文件第四章</w:t>
      </w:r>
      <w:r>
        <w:rPr>
          <w:rFonts w:hint="eastAsia" w:ascii="宋体" w:hAnsi="宋体"/>
          <w:sz w:val="24"/>
        </w:rPr>
        <w:t>“</w:t>
      </w:r>
      <w:r>
        <w:rPr>
          <w:rFonts w:ascii="宋体" w:hAnsi="宋体"/>
          <w:sz w:val="24"/>
        </w:rPr>
        <w:t>项目需求</w:t>
      </w:r>
      <w:r>
        <w:rPr>
          <w:rFonts w:hint="eastAsia" w:ascii="宋体" w:hAnsi="宋体"/>
          <w:sz w:val="24"/>
        </w:rPr>
        <w:t>”</w:t>
      </w:r>
      <w:r>
        <w:rPr>
          <w:rFonts w:ascii="宋体" w:hAnsi="宋体"/>
          <w:sz w:val="24"/>
        </w:rPr>
        <w:t>中确定了核心产品，多家</w:t>
      </w:r>
      <w:r>
        <w:rPr>
          <w:rFonts w:hint="eastAsia" w:ascii="宋体" w:hAnsi="宋体"/>
          <w:sz w:val="24"/>
        </w:rPr>
        <w:t>供应商</w:t>
      </w:r>
      <w:r>
        <w:rPr>
          <w:rFonts w:ascii="宋体" w:hAnsi="宋体"/>
          <w:sz w:val="24"/>
        </w:rPr>
        <w:t>提供的核心产品品牌相同的，根据上述规定处理。</w:t>
      </w:r>
    </w:p>
    <w:p>
      <w:pPr>
        <w:spacing w:line="360" w:lineRule="auto"/>
        <w:rPr>
          <w:rFonts w:ascii="宋体" w:hAnsi="宋体"/>
          <w:b/>
          <w:bCs/>
          <w:sz w:val="24"/>
        </w:rPr>
      </w:pPr>
      <w:r>
        <w:rPr>
          <w:rFonts w:hint="eastAsia" w:ascii="宋体" w:hAnsi="宋体"/>
          <w:b/>
          <w:bCs/>
          <w:sz w:val="24"/>
        </w:rPr>
        <w:t>（三）评审报告</w:t>
      </w:r>
    </w:p>
    <w:p>
      <w:pPr>
        <w:spacing w:line="360" w:lineRule="auto"/>
        <w:ind w:firstLine="480" w:firstLineChars="200"/>
        <w:rPr>
          <w:rFonts w:ascii="宋体" w:hAnsi="宋体" w:cs="宋体"/>
          <w:kern w:val="0"/>
          <w:sz w:val="24"/>
          <w:szCs w:val="24"/>
        </w:rPr>
      </w:pPr>
      <w:r>
        <w:rPr>
          <w:rFonts w:ascii="宋体" w:hAnsi="宋体" w:cs="宋体"/>
          <w:kern w:val="0"/>
          <w:sz w:val="24"/>
          <w:szCs w:val="24"/>
        </w:rPr>
        <w:t>评审报告应当由磋商小组全体人员签字认可。磋商小组成员对评审报告有异议的，磋商小组按照少数服从多数的原则推荐成交候选供应商，采购程序继续进行。对评审 报告有异议的磋商小组成员，应当在报告上签署不同意见并说明理由，由磋商小组书面记录相关情况。磋商小组成员拒绝在报告上签字又不书面说明其不同意见和理由的，视为同意评审报告。</w:t>
      </w:r>
    </w:p>
    <w:p>
      <w:pPr>
        <w:pStyle w:val="3"/>
        <w:ind w:firstLine="241" w:firstLineChars="100"/>
      </w:pPr>
      <w:bookmarkStart w:id="104" w:name="_Toc146043907"/>
      <w:r>
        <w:rPr>
          <w:rFonts w:hint="eastAsia"/>
        </w:rPr>
        <w:t>二、评分办法</w:t>
      </w:r>
      <w:bookmarkEnd w:id="104"/>
    </w:p>
    <w:p>
      <w:pPr>
        <w:spacing w:line="360" w:lineRule="auto"/>
        <w:ind w:firstLine="480" w:firstLineChars="200"/>
        <w:rPr>
          <w:rFonts w:ascii="宋体" w:hAnsi="宋体"/>
          <w:kern w:val="0"/>
          <w:sz w:val="24"/>
        </w:rPr>
      </w:pPr>
      <w:r>
        <w:rPr>
          <w:rFonts w:hint="eastAsia" w:ascii="宋体" w:hAnsi="宋体"/>
          <w:kern w:val="0"/>
          <w:sz w:val="24"/>
        </w:rPr>
        <w:t>综合评分法评审标准中的分值设置应当与评审因素的量化指标相对应。磋商文件中没有规定的评审标准不得作为评审依据。</w:t>
      </w:r>
    </w:p>
    <w:p>
      <w:pPr>
        <w:spacing w:line="360" w:lineRule="auto"/>
        <w:ind w:firstLine="480"/>
        <w:rPr>
          <w:rFonts w:ascii="宋体" w:hAnsi="宋体"/>
          <w:sz w:val="24"/>
        </w:rPr>
      </w:pPr>
      <w:r>
        <w:rPr>
          <w:rFonts w:hint="eastAsia" w:ascii="宋体" w:hAnsi="宋体"/>
          <w:kern w:val="0"/>
          <w:sz w:val="24"/>
        </w:rPr>
        <w:t>评审时，磋商小组各成员应当独立对每个有效响应的文件进行评价、打分，然后汇总每个供应商每项评分因素的得分。</w:t>
      </w:r>
      <w:r>
        <w:rPr>
          <w:rFonts w:hint="eastAsia" w:ascii="宋体" w:hAnsi="宋体"/>
          <w:sz w:val="24"/>
        </w:rPr>
        <w:t>具体评审因素及标准、权重具体如下：</w:t>
      </w:r>
    </w:p>
    <w:tbl>
      <w:tblPr>
        <w:tblStyle w:val="48"/>
        <w:tblW w:w="509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5"/>
        <w:gridCol w:w="1218"/>
        <w:gridCol w:w="6059"/>
        <w:gridCol w:w="6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18" w:type="pct"/>
            <w:vAlign w:val="center"/>
          </w:tcPr>
          <w:p>
            <w:pPr>
              <w:spacing w:line="360" w:lineRule="auto"/>
              <w:jc w:val="center"/>
              <w:rPr>
                <w:rFonts w:ascii="宋体" w:hAnsi="宋体"/>
                <w:b/>
                <w:sz w:val="24"/>
              </w:rPr>
            </w:pPr>
            <w:r>
              <w:rPr>
                <w:rFonts w:hint="eastAsia" w:ascii="宋体" w:hAnsi="宋体"/>
                <w:b/>
                <w:sz w:val="24"/>
                <w:szCs w:val="24"/>
              </w:rPr>
              <w:t>序号</w:t>
            </w:r>
          </w:p>
        </w:tc>
        <w:tc>
          <w:tcPr>
            <w:tcW w:w="702" w:type="pct"/>
            <w:vAlign w:val="center"/>
          </w:tcPr>
          <w:p>
            <w:pPr>
              <w:spacing w:line="360" w:lineRule="auto"/>
              <w:jc w:val="center"/>
              <w:rPr>
                <w:rFonts w:ascii="宋体" w:hAnsi="宋体"/>
                <w:b/>
                <w:sz w:val="24"/>
              </w:rPr>
            </w:pPr>
            <w:r>
              <w:rPr>
                <w:rFonts w:hint="eastAsia" w:ascii="宋体" w:hAnsi="宋体"/>
                <w:b/>
                <w:sz w:val="24"/>
                <w:szCs w:val="24"/>
              </w:rPr>
              <w:t>评审因素</w:t>
            </w:r>
          </w:p>
        </w:tc>
        <w:tc>
          <w:tcPr>
            <w:tcW w:w="3492" w:type="pct"/>
            <w:vAlign w:val="center"/>
          </w:tcPr>
          <w:p>
            <w:pPr>
              <w:spacing w:line="360" w:lineRule="auto"/>
              <w:jc w:val="center"/>
              <w:rPr>
                <w:rFonts w:ascii="宋体" w:hAnsi="宋体"/>
                <w:b/>
                <w:sz w:val="24"/>
              </w:rPr>
            </w:pPr>
            <w:r>
              <w:rPr>
                <w:rFonts w:hint="eastAsia" w:ascii="宋体" w:hAnsi="宋体"/>
                <w:b/>
                <w:sz w:val="24"/>
                <w:szCs w:val="24"/>
              </w:rPr>
              <w:t>评分标准</w:t>
            </w:r>
          </w:p>
        </w:tc>
        <w:tc>
          <w:tcPr>
            <w:tcW w:w="388" w:type="pct"/>
            <w:vAlign w:val="center"/>
          </w:tcPr>
          <w:p>
            <w:pPr>
              <w:spacing w:line="360" w:lineRule="auto"/>
              <w:jc w:val="center"/>
              <w:rPr>
                <w:rFonts w:ascii="宋体" w:hAnsi="宋体"/>
                <w:b/>
                <w:sz w:val="24"/>
              </w:rPr>
            </w:pPr>
            <w:r>
              <w:rPr>
                <w:rFonts w:hint="eastAsia" w:ascii="宋体" w:hAnsi="宋体"/>
                <w:b/>
                <w:sz w:val="24"/>
                <w:szCs w:val="24"/>
              </w:rPr>
              <w:t>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18" w:type="pct"/>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szCs w:val="24"/>
              </w:rPr>
              <w:t>1</w:t>
            </w:r>
          </w:p>
        </w:tc>
        <w:tc>
          <w:tcPr>
            <w:tcW w:w="702" w:type="pct"/>
            <w:vAlign w:val="center"/>
          </w:tcPr>
          <w:p>
            <w:pPr>
              <w:widowControl/>
              <w:spacing w:line="360" w:lineRule="auto"/>
              <w:jc w:val="center"/>
              <w:rPr>
                <w:rFonts w:ascii="宋体" w:hAnsi="宋体" w:cs="宋体"/>
                <w:kern w:val="0"/>
                <w:sz w:val="24"/>
              </w:rPr>
            </w:pPr>
            <w:r>
              <w:rPr>
                <w:rFonts w:hint="eastAsia" w:ascii="宋体" w:hAnsi="宋体" w:cs="宋体"/>
                <w:kern w:val="0"/>
                <w:sz w:val="24"/>
                <w:szCs w:val="24"/>
              </w:rPr>
              <w:t>价格分</w:t>
            </w:r>
          </w:p>
        </w:tc>
        <w:tc>
          <w:tcPr>
            <w:tcW w:w="3492" w:type="pct"/>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综合评分法中的价格分统一采用低价优先法计算，即满足比选文件要求且价格最低的响应报价为评审基准价，其价格分为满分。其他供应商的价格分统一按照下列公式计算：</w:t>
            </w:r>
            <w:r>
              <w:rPr>
                <w:rFonts w:hint="eastAsia" w:ascii="宋体" w:hAnsi="宋体" w:cs="宋体"/>
                <w:kern w:val="0"/>
                <w:sz w:val="24"/>
                <w:szCs w:val="24"/>
              </w:rPr>
              <w:br w:type="textWrapping"/>
            </w:r>
            <w:r>
              <w:rPr>
                <w:rFonts w:hint="eastAsia" w:ascii="宋体" w:hAnsi="宋体" w:cs="宋体"/>
                <w:kern w:val="0"/>
                <w:sz w:val="24"/>
                <w:szCs w:val="24"/>
              </w:rPr>
              <w:t>响应报价得分=(评审基准价／响应报价)×</w:t>
            </w:r>
            <w:r>
              <w:rPr>
                <w:rFonts w:ascii="宋体" w:hAnsi="宋体" w:cs="宋体"/>
                <w:kern w:val="0"/>
                <w:sz w:val="24"/>
                <w:szCs w:val="24"/>
              </w:rPr>
              <w:t>40</w:t>
            </w:r>
          </w:p>
        </w:tc>
        <w:tc>
          <w:tcPr>
            <w:tcW w:w="388" w:type="pct"/>
            <w:vAlign w:val="center"/>
          </w:tcPr>
          <w:p>
            <w:pPr>
              <w:widowControl/>
              <w:spacing w:line="360" w:lineRule="auto"/>
              <w:jc w:val="center"/>
              <w:rPr>
                <w:rFonts w:ascii="宋体" w:hAnsi="宋体" w:cs="宋体"/>
                <w:kern w:val="0"/>
                <w:sz w:val="24"/>
              </w:rPr>
            </w:pPr>
            <w:r>
              <w:rPr>
                <w:rFonts w:ascii="宋体" w:hAnsi="宋体" w:cs="宋体"/>
                <w:kern w:val="0"/>
                <w:sz w:val="24"/>
                <w:szCs w:val="24"/>
              </w:rPr>
              <w:t>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18" w:type="pct"/>
            <w:vAlign w:val="center"/>
          </w:tcPr>
          <w:p>
            <w:pPr>
              <w:widowControl/>
              <w:spacing w:line="360" w:lineRule="auto"/>
              <w:jc w:val="center"/>
              <w:rPr>
                <w:rFonts w:ascii="宋体" w:hAnsi="宋体" w:cs="宋体"/>
                <w:b/>
                <w:bCs/>
                <w:kern w:val="0"/>
                <w:sz w:val="24"/>
              </w:rPr>
            </w:pPr>
            <w:r>
              <w:rPr>
                <w:rFonts w:ascii="宋体" w:hAnsi="宋体" w:cs="宋体"/>
                <w:b/>
                <w:bCs/>
                <w:kern w:val="0"/>
                <w:sz w:val="24"/>
                <w:szCs w:val="24"/>
              </w:rPr>
              <w:t>2</w:t>
            </w:r>
          </w:p>
        </w:tc>
        <w:tc>
          <w:tcPr>
            <w:tcW w:w="702" w:type="pct"/>
            <w:vAlign w:val="center"/>
          </w:tcPr>
          <w:p>
            <w:pPr>
              <w:widowControl/>
              <w:spacing w:line="360" w:lineRule="auto"/>
              <w:jc w:val="center"/>
              <w:rPr>
                <w:rFonts w:ascii="宋体" w:hAnsi="宋体" w:cs="宋体"/>
                <w:kern w:val="0"/>
                <w:sz w:val="24"/>
              </w:rPr>
            </w:pPr>
            <w:r>
              <w:rPr>
                <w:rFonts w:hint="eastAsia" w:ascii="宋体" w:hAnsi="宋体"/>
                <w:sz w:val="24"/>
                <w:szCs w:val="24"/>
              </w:rPr>
              <w:t>样品情况</w:t>
            </w:r>
          </w:p>
        </w:tc>
        <w:tc>
          <w:tcPr>
            <w:tcW w:w="3492" w:type="pct"/>
            <w:vAlign w:val="center"/>
          </w:tcPr>
          <w:p>
            <w:pPr>
              <w:widowControl/>
              <w:spacing w:line="360" w:lineRule="auto"/>
              <w:rPr>
                <w:rFonts w:ascii="宋体" w:hAnsi="宋体" w:cs="宋体"/>
                <w:kern w:val="0"/>
                <w:sz w:val="24"/>
              </w:rPr>
            </w:pPr>
            <w:r>
              <w:rPr>
                <w:rFonts w:hint="eastAsia" w:ascii="宋体" w:hAnsi="宋体" w:cs="宋体"/>
                <w:kern w:val="0"/>
                <w:sz w:val="24"/>
                <w:szCs w:val="24"/>
              </w:rPr>
              <w:t>针对样品从制作工艺水平、尺寸结构、材质印染三个维度进行评价，每项满分</w:t>
            </w:r>
            <w:r>
              <w:rPr>
                <w:rFonts w:ascii="宋体" w:hAnsi="宋体" w:cs="宋体"/>
                <w:kern w:val="0"/>
                <w:sz w:val="24"/>
                <w:szCs w:val="24"/>
              </w:rPr>
              <w:t>10</w:t>
            </w:r>
            <w:r>
              <w:rPr>
                <w:rFonts w:hint="eastAsia" w:ascii="宋体" w:hAnsi="宋体" w:cs="宋体"/>
                <w:kern w:val="0"/>
                <w:sz w:val="24"/>
                <w:szCs w:val="24"/>
              </w:rPr>
              <w:t>分：</w:t>
            </w:r>
          </w:p>
          <w:p>
            <w:pPr>
              <w:widowControl/>
              <w:spacing w:line="360" w:lineRule="auto"/>
              <w:rPr>
                <w:rFonts w:ascii="宋体" w:hAnsi="宋体" w:cs="宋体"/>
                <w:kern w:val="0"/>
                <w:sz w:val="24"/>
              </w:rPr>
            </w:pPr>
            <w:r>
              <w:rPr>
                <w:rFonts w:hint="eastAsia" w:ascii="宋体" w:hAnsi="宋体" w:cs="宋体"/>
                <w:kern w:val="0"/>
                <w:sz w:val="24"/>
                <w:szCs w:val="24"/>
              </w:rPr>
              <w:t>针对每个评审子项响应情况良好、完全满足要求得8</w:t>
            </w:r>
            <w:r>
              <w:rPr>
                <w:rFonts w:ascii="宋体" w:hAnsi="宋体" w:cs="宋体"/>
                <w:kern w:val="0"/>
                <w:sz w:val="24"/>
                <w:szCs w:val="24"/>
              </w:rPr>
              <w:t>-10</w:t>
            </w:r>
            <w:r>
              <w:rPr>
                <w:rFonts w:hint="eastAsia" w:ascii="宋体" w:hAnsi="宋体" w:cs="宋体"/>
                <w:kern w:val="0"/>
                <w:sz w:val="24"/>
                <w:szCs w:val="24"/>
              </w:rPr>
              <w:t>分；存在少量缺陷得</w:t>
            </w:r>
            <w:r>
              <w:rPr>
                <w:rFonts w:ascii="宋体" w:hAnsi="宋体" w:cs="宋体"/>
                <w:kern w:val="0"/>
                <w:sz w:val="24"/>
                <w:szCs w:val="24"/>
              </w:rPr>
              <w:t>4-7</w:t>
            </w:r>
            <w:r>
              <w:rPr>
                <w:rFonts w:hint="eastAsia" w:ascii="宋体" w:hAnsi="宋体" w:cs="宋体"/>
                <w:kern w:val="0"/>
                <w:sz w:val="24"/>
                <w:szCs w:val="24"/>
              </w:rPr>
              <w:t>分；存在严重缺陷或不足得1-</w:t>
            </w:r>
            <w:r>
              <w:rPr>
                <w:rFonts w:ascii="宋体" w:hAnsi="宋体" w:cs="宋体"/>
                <w:kern w:val="0"/>
                <w:sz w:val="24"/>
                <w:szCs w:val="24"/>
              </w:rPr>
              <w:t>3</w:t>
            </w:r>
            <w:r>
              <w:rPr>
                <w:rFonts w:hint="eastAsia" w:ascii="宋体" w:hAnsi="宋体" w:cs="宋体"/>
                <w:kern w:val="0"/>
                <w:sz w:val="24"/>
                <w:szCs w:val="24"/>
              </w:rPr>
              <w:t>分；完全不满足要求得0分。</w:t>
            </w:r>
          </w:p>
          <w:p>
            <w:pPr>
              <w:widowControl/>
              <w:spacing w:line="360" w:lineRule="auto"/>
              <w:rPr>
                <w:rFonts w:ascii="宋体" w:hAnsi="宋体" w:cs="宋体"/>
                <w:kern w:val="0"/>
                <w:sz w:val="24"/>
              </w:rPr>
            </w:pPr>
            <w:r>
              <w:rPr>
                <w:rFonts w:hint="eastAsia" w:ascii="宋体" w:hAnsi="宋体" w:cs="宋体"/>
                <w:kern w:val="0"/>
                <w:sz w:val="24"/>
                <w:szCs w:val="24"/>
              </w:rPr>
              <w:t>注：未提供样品或所提供样品与响应文件承诺不一致，本评审项均得0分。</w:t>
            </w:r>
          </w:p>
        </w:tc>
        <w:tc>
          <w:tcPr>
            <w:tcW w:w="388" w:type="pct"/>
            <w:vAlign w:val="center"/>
          </w:tcPr>
          <w:p>
            <w:pPr>
              <w:widowControl/>
              <w:spacing w:line="360" w:lineRule="auto"/>
              <w:jc w:val="center"/>
              <w:rPr>
                <w:rFonts w:ascii="宋体" w:hAnsi="宋体" w:cs="宋体"/>
                <w:kern w:val="0"/>
                <w:sz w:val="24"/>
              </w:rPr>
            </w:pPr>
            <w:r>
              <w:rPr>
                <w:rFonts w:ascii="宋体" w:hAnsi="宋体" w:cs="宋体"/>
                <w:kern w:val="0"/>
                <w:sz w:val="24"/>
                <w:szCs w:val="24"/>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18" w:type="pct"/>
            <w:vAlign w:val="center"/>
          </w:tcPr>
          <w:p>
            <w:pPr>
              <w:widowControl/>
              <w:spacing w:line="360" w:lineRule="auto"/>
              <w:jc w:val="center"/>
              <w:rPr>
                <w:rFonts w:ascii="宋体" w:hAnsi="宋体" w:cs="宋体"/>
                <w:b/>
                <w:bCs/>
                <w:kern w:val="0"/>
                <w:sz w:val="24"/>
              </w:rPr>
            </w:pPr>
            <w:r>
              <w:rPr>
                <w:rFonts w:ascii="宋体" w:hAnsi="宋体" w:cs="宋体"/>
                <w:b/>
                <w:bCs/>
                <w:kern w:val="0"/>
                <w:sz w:val="24"/>
                <w:szCs w:val="24"/>
              </w:rPr>
              <w:t>3</w:t>
            </w:r>
          </w:p>
        </w:tc>
        <w:tc>
          <w:tcPr>
            <w:tcW w:w="702" w:type="pct"/>
            <w:vAlign w:val="center"/>
          </w:tcPr>
          <w:p>
            <w:pPr>
              <w:widowControl/>
              <w:spacing w:line="360" w:lineRule="auto"/>
              <w:jc w:val="center"/>
              <w:rPr>
                <w:rFonts w:ascii="宋体" w:hAnsi="宋体" w:cs="宋体"/>
                <w:kern w:val="0"/>
                <w:sz w:val="24"/>
              </w:rPr>
            </w:pPr>
            <w:r>
              <w:rPr>
                <w:rFonts w:hint="eastAsia" w:ascii="宋体" w:hAnsi="宋体" w:cs="宋体"/>
                <w:kern w:val="0"/>
                <w:sz w:val="24"/>
                <w:szCs w:val="24"/>
              </w:rPr>
              <w:t>技术评价</w:t>
            </w:r>
          </w:p>
        </w:tc>
        <w:tc>
          <w:tcPr>
            <w:tcW w:w="3492" w:type="pct"/>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供应商须对采购文件</w:t>
            </w:r>
            <w:r>
              <w:rPr>
                <w:rFonts w:hint="eastAsia" w:ascii="宋体" w:hAnsi="宋体" w:cs="宋体"/>
                <w:b/>
                <w:bCs/>
                <w:kern w:val="0"/>
                <w:sz w:val="24"/>
                <w:szCs w:val="24"/>
              </w:rPr>
              <w:t>第四章项目需求中3技术要求的</w:t>
            </w:r>
            <w:r>
              <w:rPr>
                <w:rFonts w:hint="eastAsia" w:ascii="宋体" w:hAnsi="宋体" w:cs="宋体"/>
                <w:kern w:val="0"/>
                <w:sz w:val="24"/>
                <w:szCs w:val="24"/>
              </w:rPr>
              <w:t>所有内容逐条进行响应，完全满足采购要求的，可得满分。</w:t>
            </w:r>
            <w:r>
              <w:rPr>
                <w:rFonts w:hint="eastAsia" w:ascii="宋体" w:hAnsi="宋体" w:cs="宋体"/>
                <w:kern w:val="0"/>
                <w:sz w:val="24"/>
                <w:szCs w:val="24"/>
              </w:rPr>
              <w:br w:type="textWrapping"/>
            </w:r>
            <w:r>
              <w:rPr>
                <w:rFonts w:hint="eastAsia" w:ascii="宋体" w:hAnsi="宋体" w:cs="宋体"/>
                <w:kern w:val="0"/>
                <w:sz w:val="24"/>
                <w:szCs w:val="24"/>
              </w:rPr>
              <w:t>有1条技术指标不满足采购要求的，在基本分的基础上减</w:t>
            </w:r>
            <w:r>
              <w:rPr>
                <w:rFonts w:ascii="宋体" w:hAnsi="宋体" w:cs="宋体"/>
                <w:kern w:val="0"/>
                <w:sz w:val="24"/>
                <w:szCs w:val="24"/>
              </w:rPr>
              <w:t>2</w:t>
            </w:r>
            <w:r>
              <w:rPr>
                <w:rFonts w:hint="eastAsia" w:ascii="宋体" w:hAnsi="宋体" w:cs="宋体"/>
                <w:kern w:val="0"/>
                <w:sz w:val="24"/>
                <w:szCs w:val="24"/>
              </w:rPr>
              <w:t>分，最低至0分，漏报条款或未明确进行响应的视为不满足。</w:t>
            </w:r>
          </w:p>
          <w:p>
            <w:pPr>
              <w:widowControl/>
              <w:spacing w:line="360" w:lineRule="auto"/>
              <w:rPr>
                <w:rFonts w:ascii="宋体" w:hAnsi="宋体" w:cs="宋体"/>
                <w:b/>
                <w:bCs/>
                <w:kern w:val="0"/>
                <w:sz w:val="24"/>
              </w:rPr>
            </w:pPr>
            <w:r>
              <w:rPr>
                <w:rFonts w:hint="eastAsia" w:ascii="宋体" w:hAnsi="宋体" w:cs="宋体"/>
                <w:b/>
                <w:bCs/>
                <w:kern w:val="0"/>
                <w:sz w:val="24"/>
              </w:rPr>
              <w:t>注：</w:t>
            </w:r>
            <w:r>
              <w:rPr>
                <w:rFonts w:hint="eastAsia" w:ascii="宋体" w:hAnsi="宋体"/>
                <w:sz w:val="24"/>
                <w:szCs w:val="24"/>
              </w:rPr>
              <w:t>供应商应</w:t>
            </w:r>
            <w:r>
              <w:rPr>
                <w:rFonts w:ascii="宋体" w:hAnsi="宋体"/>
                <w:sz w:val="24"/>
                <w:szCs w:val="24"/>
              </w:rPr>
              <w:t>在技术偏离表中对</w:t>
            </w:r>
            <w:r>
              <w:rPr>
                <w:rFonts w:hint="eastAsia" w:ascii="宋体" w:hAnsi="宋体"/>
                <w:sz w:val="24"/>
                <w:szCs w:val="24"/>
              </w:rPr>
              <w:t>3技术要求</w:t>
            </w:r>
            <w:r>
              <w:rPr>
                <w:rFonts w:ascii="宋体" w:hAnsi="宋体"/>
                <w:sz w:val="24"/>
                <w:szCs w:val="24"/>
              </w:rPr>
              <w:t>的所有内容进行点对点应答，应在引用本招标文件的基础上,进行逐条逐项答复、说明或解释。漏报技术条款视为负偏离。</w:t>
            </w:r>
          </w:p>
        </w:tc>
        <w:tc>
          <w:tcPr>
            <w:tcW w:w="388" w:type="pct"/>
            <w:vAlign w:val="center"/>
          </w:tcPr>
          <w:p>
            <w:pPr>
              <w:widowControl/>
              <w:spacing w:line="360" w:lineRule="auto"/>
              <w:jc w:val="center"/>
              <w:rPr>
                <w:rFonts w:ascii="宋体" w:hAnsi="宋体" w:cs="宋体"/>
                <w:kern w:val="0"/>
                <w:sz w:val="24"/>
              </w:rPr>
            </w:pPr>
            <w:r>
              <w:rPr>
                <w:rFonts w:ascii="宋体" w:hAnsi="宋体" w:cs="宋体"/>
                <w:kern w:val="0"/>
                <w:sz w:val="24"/>
                <w:szCs w:val="24"/>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18" w:type="pct"/>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szCs w:val="24"/>
              </w:rPr>
              <w:t>4</w:t>
            </w:r>
          </w:p>
        </w:tc>
        <w:tc>
          <w:tcPr>
            <w:tcW w:w="702" w:type="pct"/>
            <w:vAlign w:val="center"/>
          </w:tcPr>
          <w:p>
            <w:pPr>
              <w:widowControl/>
              <w:spacing w:line="360" w:lineRule="auto"/>
              <w:jc w:val="center"/>
              <w:rPr>
                <w:rFonts w:ascii="宋体" w:hAnsi="宋体" w:cs="宋体"/>
                <w:kern w:val="0"/>
                <w:sz w:val="24"/>
              </w:rPr>
            </w:pPr>
            <w:r>
              <w:rPr>
                <w:rFonts w:hint="eastAsia" w:ascii="宋体" w:hAnsi="宋体" w:cs="宋体"/>
                <w:kern w:val="0"/>
                <w:sz w:val="24"/>
                <w:szCs w:val="24"/>
              </w:rPr>
              <w:t>实施方案</w:t>
            </w:r>
          </w:p>
        </w:tc>
        <w:tc>
          <w:tcPr>
            <w:tcW w:w="3492" w:type="pct"/>
            <w:vAlign w:val="center"/>
          </w:tcPr>
          <w:p>
            <w:pPr>
              <w:widowControl/>
              <w:spacing w:line="360" w:lineRule="auto"/>
              <w:rPr>
                <w:rFonts w:ascii="宋体" w:hAnsi="宋体" w:cs="宋体"/>
                <w:kern w:val="0"/>
                <w:sz w:val="24"/>
              </w:rPr>
            </w:pPr>
            <w:r>
              <w:rPr>
                <w:rFonts w:hint="eastAsia" w:ascii="宋体" w:hAnsi="宋体" w:cs="宋体"/>
                <w:kern w:val="0"/>
                <w:sz w:val="24"/>
                <w:szCs w:val="24"/>
              </w:rPr>
              <w:t>供应商承诺的供货、服务保障方案：</w:t>
            </w:r>
            <w:r>
              <w:rPr>
                <w:rFonts w:ascii="宋体" w:hAnsi="宋体" w:cs="宋体"/>
                <w:kern w:val="0"/>
                <w:sz w:val="24"/>
                <w:szCs w:val="24"/>
              </w:rPr>
              <w:t xml:space="preserve"> </w:t>
            </w:r>
          </w:p>
          <w:p>
            <w:pPr>
              <w:widowControl/>
              <w:spacing w:line="360" w:lineRule="auto"/>
              <w:rPr>
                <w:rFonts w:ascii="宋体" w:hAnsi="宋体" w:cs="宋体"/>
                <w:kern w:val="0"/>
                <w:sz w:val="24"/>
              </w:rPr>
            </w:pP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方案科学合理、具有成熟完整的供货、配送、服务流程，完全能满足采购人供货时间要求，得</w:t>
            </w:r>
            <w:r>
              <w:rPr>
                <w:rFonts w:ascii="宋体" w:hAnsi="宋体" w:cs="宋体"/>
                <w:kern w:val="0"/>
                <w:sz w:val="24"/>
                <w:szCs w:val="24"/>
              </w:rPr>
              <w:t>5</w:t>
            </w:r>
            <w:r>
              <w:rPr>
                <w:rFonts w:hint="eastAsia" w:ascii="宋体" w:hAnsi="宋体" w:cs="宋体"/>
                <w:kern w:val="0"/>
                <w:sz w:val="24"/>
                <w:szCs w:val="24"/>
              </w:rPr>
              <w:t>分；</w:t>
            </w:r>
            <w:r>
              <w:rPr>
                <w:rFonts w:ascii="宋体" w:hAnsi="宋体" w:cs="宋体"/>
                <w:kern w:val="0"/>
                <w:sz w:val="24"/>
                <w:szCs w:val="24"/>
              </w:rPr>
              <w:t xml:space="preserve"> </w:t>
            </w:r>
          </w:p>
          <w:p>
            <w:pPr>
              <w:widowControl/>
              <w:spacing w:line="360" w:lineRule="auto"/>
              <w:rPr>
                <w:rFonts w:ascii="宋体" w:hAnsi="宋体" w:cs="宋体"/>
                <w:kern w:val="0"/>
                <w:sz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 xml:space="preserve">方案基本合理、具有较成熟完整的供货、服务流程，可以较好的满足实际需求得 </w:t>
            </w:r>
            <w:r>
              <w:rPr>
                <w:rFonts w:ascii="宋体" w:hAnsi="宋体" w:cs="宋体"/>
                <w:kern w:val="0"/>
                <w:sz w:val="24"/>
                <w:szCs w:val="24"/>
              </w:rPr>
              <w:t>3-4</w:t>
            </w:r>
            <w:r>
              <w:rPr>
                <w:rFonts w:hint="eastAsia" w:ascii="宋体" w:hAnsi="宋体" w:cs="宋体"/>
                <w:kern w:val="0"/>
                <w:sz w:val="24"/>
                <w:szCs w:val="24"/>
              </w:rPr>
              <w:t>分；</w:t>
            </w:r>
            <w:r>
              <w:rPr>
                <w:rFonts w:ascii="宋体" w:hAnsi="宋体" w:cs="宋体"/>
                <w:kern w:val="0"/>
                <w:sz w:val="24"/>
                <w:szCs w:val="24"/>
              </w:rPr>
              <w:t xml:space="preserve"> </w:t>
            </w:r>
          </w:p>
          <w:p>
            <w:pPr>
              <w:widowControl/>
              <w:spacing w:line="360" w:lineRule="auto"/>
              <w:rPr>
                <w:rFonts w:ascii="宋体" w:hAnsi="宋体" w:cs="宋体"/>
                <w:kern w:val="0"/>
                <w:sz w:val="24"/>
              </w:rPr>
            </w:pPr>
            <w:r>
              <w:rPr>
                <w:rFonts w:hint="eastAsia" w:ascii="宋体" w:hAnsi="宋体" w:cs="宋体"/>
                <w:kern w:val="0"/>
                <w:sz w:val="24"/>
                <w:szCs w:val="24"/>
              </w:rPr>
              <w:t>3</w:t>
            </w:r>
            <w:r>
              <w:rPr>
                <w:rFonts w:ascii="宋体" w:hAnsi="宋体" w:cs="宋体"/>
                <w:kern w:val="0"/>
                <w:sz w:val="24"/>
                <w:szCs w:val="24"/>
              </w:rPr>
              <w:t>.</w:t>
            </w:r>
            <w:r>
              <w:rPr>
                <w:rFonts w:hint="eastAsia" w:ascii="宋体" w:hAnsi="宋体" w:cs="宋体"/>
                <w:kern w:val="0"/>
                <w:sz w:val="24"/>
                <w:szCs w:val="24"/>
              </w:rPr>
              <w:t>方案不够完善，流程表述不够完整，部分满足采购需求得2分；</w:t>
            </w:r>
            <w:r>
              <w:rPr>
                <w:rFonts w:ascii="宋体" w:hAnsi="宋体" w:cs="宋体"/>
                <w:kern w:val="0"/>
                <w:sz w:val="24"/>
                <w:szCs w:val="24"/>
              </w:rPr>
              <w:t xml:space="preserve"> </w:t>
            </w:r>
          </w:p>
          <w:p>
            <w:pPr>
              <w:widowControl/>
              <w:spacing w:line="360" w:lineRule="auto"/>
              <w:rPr>
                <w:rFonts w:ascii="宋体" w:hAnsi="宋体" w:cs="宋体"/>
                <w:kern w:val="0"/>
                <w:sz w:val="24"/>
              </w:rPr>
            </w:pPr>
            <w:r>
              <w:rPr>
                <w:rFonts w:hint="eastAsia" w:ascii="宋体" w:hAnsi="宋体" w:cs="宋体"/>
                <w:kern w:val="0"/>
                <w:sz w:val="24"/>
                <w:szCs w:val="24"/>
              </w:rPr>
              <w:t>4</w:t>
            </w:r>
            <w:r>
              <w:rPr>
                <w:rFonts w:ascii="宋体" w:hAnsi="宋体" w:cs="宋体"/>
                <w:kern w:val="0"/>
                <w:sz w:val="24"/>
                <w:szCs w:val="24"/>
              </w:rPr>
              <w:t>.</w:t>
            </w:r>
            <w:r>
              <w:rPr>
                <w:rFonts w:hint="eastAsia" w:ascii="宋体" w:hAnsi="宋体" w:cs="宋体"/>
                <w:kern w:val="0"/>
                <w:sz w:val="24"/>
                <w:szCs w:val="24"/>
              </w:rPr>
              <w:t>仅提供了简单的方案或完全不满足采购需求得1分；</w:t>
            </w:r>
          </w:p>
          <w:p>
            <w:pPr>
              <w:widowControl/>
              <w:spacing w:line="360" w:lineRule="auto"/>
              <w:rPr>
                <w:rFonts w:ascii="宋体" w:hAnsi="宋体" w:cs="宋体"/>
                <w:kern w:val="0"/>
                <w:sz w:val="24"/>
              </w:rPr>
            </w:pPr>
            <w:r>
              <w:rPr>
                <w:rFonts w:hint="eastAsia" w:ascii="宋体" w:hAnsi="宋体" w:cs="宋体"/>
                <w:kern w:val="0"/>
                <w:sz w:val="24"/>
                <w:szCs w:val="24"/>
              </w:rPr>
              <w:t>5.未提供得</w:t>
            </w:r>
            <w:r>
              <w:rPr>
                <w:rFonts w:ascii="宋体" w:hAnsi="宋体" w:cs="宋体"/>
                <w:kern w:val="0"/>
                <w:sz w:val="24"/>
                <w:szCs w:val="24"/>
              </w:rPr>
              <w:t>0</w:t>
            </w:r>
            <w:r>
              <w:rPr>
                <w:rFonts w:hint="eastAsia" w:ascii="宋体" w:hAnsi="宋体" w:cs="宋体"/>
                <w:kern w:val="0"/>
                <w:sz w:val="24"/>
                <w:szCs w:val="24"/>
              </w:rPr>
              <w:t>分。</w:t>
            </w:r>
          </w:p>
        </w:tc>
        <w:tc>
          <w:tcPr>
            <w:tcW w:w="388" w:type="pct"/>
            <w:vAlign w:val="center"/>
          </w:tcPr>
          <w:p>
            <w:pPr>
              <w:widowControl/>
              <w:spacing w:line="360" w:lineRule="auto"/>
              <w:jc w:val="center"/>
              <w:rPr>
                <w:rFonts w:ascii="宋体" w:hAnsi="宋体" w:cs="宋体"/>
                <w:kern w:val="0"/>
                <w:sz w:val="24"/>
              </w:rPr>
            </w:pPr>
            <w:r>
              <w:rPr>
                <w:rFonts w:ascii="宋体" w:hAnsi="宋体" w:cs="宋体"/>
                <w:kern w:val="0"/>
                <w:sz w:val="24"/>
                <w:szCs w:val="24"/>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18" w:type="pct"/>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szCs w:val="24"/>
              </w:rPr>
              <w:t>5</w:t>
            </w:r>
          </w:p>
        </w:tc>
        <w:tc>
          <w:tcPr>
            <w:tcW w:w="702" w:type="pct"/>
            <w:vAlign w:val="center"/>
          </w:tcPr>
          <w:p>
            <w:pPr>
              <w:widowControl/>
              <w:spacing w:line="360" w:lineRule="auto"/>
              <w:jc w:val="center"/>
              <w:rPr>
                <w:rFonts w:ascii="宋体" w:hAnsi="宋体" w:cs="宋体"/>
                <w:kern w:val="0"/>
                <w:sz w:val="24"/>
              </w:rPr>
            </w:pPr>
            <w:r>
              <w:rPr>
                <w:rFonts w:hint="eastAsia" w:ascii="宋体" w:hAnsi="宋体" w:cs="宋体"/>
                <w:kern w:val="0"/>
                <w:sz w:val="24"/>
                <w:szCs w:val="24"/>
              </w:rPr>
              <w:t>售后服务</w:t>
            </w:r>
          </w:p>
        </w:tc>
        <w:tc>
          <w:tcPr>
            <w:tcW w:w="3492" w:type="pct"/>
            <w:vAlign w:val="center"/>
          </w:tcPr>
          <w:p>
            <w:pPr>
              <w:widowControl/>
              <w:numPr>
                <w:ilvl w:val="0"/>
                <w:numId w:val="9"/>
              </w:numPr>
              <w:spacing w:line="360" w:lineRule="auto"/>
              <w:rPr>
                <w:rFonts w:ascii="宋体" w:hAnsi="宋体" w:cs="宋体"/>
                <w:bCs/>
                <w:kern w:val="0"/>
                <w:sz w:val="24"/>
              </w:rPr>
            </w:pPr>
            <w:r>
              <w:rPr>
                <w:rFonts w:hint="eastAsia" w:ascii="宋体" w:hAnsi="宋体" w:cs="宋体"/>
                <w:bCs/>
                <w:kern w:val="0"/>
                <w:sz w:val="24"/>
                <w:szCs w:val="24"/>
              </w:rPr>
              <w:t>售后服务方案针对性强，详细、合理，完全满足采购人的实际需求得</w:t>
            </w:r>
            <w:r>
              <w:rPr>
                <w:rFonts w:ascii="宋体" w:hAnsi="宋体" w:cs="宋体"/>
                <w:bCs/>
                <w:kern w:val="0"/>
                <w:sz w:val="24"/>
                <w:szCs w:val="24"/>
              </w:rPr>
              <w:t>5</w:t>
            </w:r>
            <w:r>
              <w:rPr>
                <w:rFonts w:hint="eastAsia" w:ascii="宋体" w:hAnsi="宋体" w:cs="宋体"/>
                <w:bCs/>
                <w:kern w:val="0"/>
                <w:sz w:val="24"/>
                <w:szCs w:val="24"/>
              </w:rPr>
              <w:t>分；</w:t>
            </w:r>
          </w:p>
          <w:p>
            <w:pPr>
              <w:pStyle w:val="47"/>
              <w:numPr>
                <w:ilvl w:val="0"/>
                <w:numId w:val="9"/>
              </w:numPr>
              <w:spacing w:line="360" w:lineRule="auto"/>
              <w:ind w:left="0" w:leftChars="0" w:firstLine="0" w:firstLineChars="0"/>
              <w:rPr>
                <w:sz w:val="24"/>
              </w:rPr>
            </w:pPr>
            <w:r>
              <w:rPr>
                <w:rFonts w:hint="eastAsia"/>
                <w:sz w:val="24"/>
                <w:szCs w:val="24"/>
              </w:rPr>
              <w:t>售后服务方案针对性较强，内容较完整，能够满足采购人的实际需求得</w:t>
            </w:r>
            <w:r>
              <w:rPr>
                <w:sz w:val="24"/>
                <w:szCs w:val="24"/>
              </w:rPr>
              <w:t>3-4</w:t>
            </w:r>
            <w:r>
              <w:rPr>
                <w:rFonts w:hint="eastAsia"/>
                <w:sz w:val="24"/>
                <w:szCs w:val="24"/>
              </w:rPr>
              <w:t>分；</w:t>
            </w:r>
          </w:p>
          <w:p>
            <w:pPr>
              <w:widowControl/>
              <w:spacing w:line="360" w:lineRule="auto"/>
              <w:rPr>
                <w:rFonts w:ascii="宋体" w:hAnsi="宋体" w:cs="宋体"/>
                <w:bCs/>
                <w:kern w:val="0"/>
                <w:sz w:val="24"/>
              </w:rPr>
            </w:pPr>
            <w:r>
              <w:rPr>
                <w:rFonts w:hint="eastAsia" w:ascii="宋体" w:hAnsi="宋体" w:cs="宋体"/>
                <w:bCs/>
                <w:kern w:val="0"/>
                <w:sz w:val="24"/>
                <w:szCs w:val="24"/>
              </w:rPr>
              <w:t>3</w:t>
            </w:r>
            <w:r>
              <w:rPr>
                <w:rFonts w:ascii="宋体" w:hAnsi="宋体" w:cs="宋体"/>
                <w:bCs/>
                <w:kern w:val="0"/>
                <w:sz w:val="24"/>
                <w:szCs w:val="24"/>
              </w:rPr>
              <w:t>.</w:t>
            </w:r>
            <w:r>
              <w:rPr>
                <w:rFonts w:hint="eastAsia" w:ascii="宋体" w:hAnsi="宋体" w:cs="宋体"/>
                <w:bCs/>
                <w:kern w:val="0"/>
                <w:sz w:val="24"/>
                <w:szCs w:val="24"/>
              </w:rPr>
              <w:t>售后服务方案针对性一般，基本满足采购人的实际需求得2分；</w:t>
            </w:r>
          </w:p>
          <w:p>
            <w:pPr>
              <w:widowControl/>
              <w:spacing w:line="360" w:lineRule="auto"/>
              <w:rPr>
                <w:rFonts w:ascii="宋体" w:hAnsi="宋体" w:cs="宋体"/>
                <w:bCs/>
                <w:kern w:val="0"/>
                <w:sz w:val="24"/>
              </w:rPr>
            </w:pPr>
            <w:r>
              <w:rPr>
                <w:rFonts w:hint="eastAsia" w:ascii="宋体" w:hAnsi="宋体" w:cs="宋体"/>
                <w:bCs/>
                <w:kern w:val="0"/>
                <w:sz w:val="24"/>
                <w:szCs w:val="24"/>
              </w:rPr>
              <w:t>4.售后服务方案没有针对性，不满足采购人的实际需求得1分；</w:t>
            </w:r>
          </w:p>
          <w:p>
            <w:pPr>
              <w:widowControl/>
              <w:spacing w:line="360" w:lineRule="auto"/>
              <w:rPr>
                <w:rFonts w:ascii="宋体" w:hAnsi="宋体" w:cs="宋体"/>
                <w:bCs/>
                <w:kern w:val="0"/>
                <w:sz w:val="24"/>
              </w:rPr>
            </w:pPr>
            <w:r>
              <w:rPr>
                <w:rFonts w:hint="eastAsia" w:ascii="宋体" w:hAnsi="宋体" w:cs="宋体"/>
                <w:bCs/>
                <w:kern w:val="0"/>
                <w:sz w:val="24"/>
                <w:szCs w:val="24"/>
              </w:rPr>
              <w:t>5.未提供，不得分。</w:t>
            </w:r>
          </w:p>
        </w:tc>
        <w:tc>
          <w:tcPr>
            <w:tcW w:w="388" w:type="pct"/>
            <w:vAlign w:val="center"/>
          </w:tcPr>
          <w:p>
            <w:pPr>
              <w:widowControl/>
              <w:spacing w:line="360" w:lineRule="auto"/>
              <w:jc w:val="center"/>
              <w:rPr>
                <w:rFonts w:ascii="宋体" w:hAnsi="宋体" w:cs="宋体"/>
                <w:kern w:val="0"/>
                <w:sz w:val="24"/>
              </w:rPr>
            </w:pPr>
            <w:r>
              <w:rPr>
                <w:rFonts w:ascii="宋体" w:hAnsi="宋体" w:cs="宋体"/>
                <w:kern w:val="0"/>
                <w:sz w:val="24"/>
                <w:szCs w:val="24"/>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418" w:type="pct"/>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rFonts w:ascii="宋体" w:hAnsi="宋体" w:cs="宋体"/>
                <w:b/>
                <w:bCs/>
                <w:kern w:val="0"/>
                <w:sz w:val="24"/>
              </w:rPr>
            </w:pPr>
            <w:r>
              <w:rPr>
                <w:rFonts w:ascii="宋体" w:hAnsi="宋体" w:cs="宋体"/>
                <w:b/>
                <w:bCs/>
                <w:kern w:val="0"/>
                <w:sz w:val="24"/>
                <w:szCs w:val="24"/>
              </w:rPr>
              <w:t>6</w:t>
            </w:r>
          </w:p>
        </w:tc>
        <w:tc>
          <w:tcPr>
            <w:tcW w:w="702" w:type="pct"/>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szCs w:val="24"/>
              </w:rPr>
              <w:t>同类业绩</w:t>
            </w:r>
          </w:p>
        </w:tc>
        <w:tc>
          <w:tcPr>
            <w:tcW w:w="3492" w:type="pct"/>
            <w:tcBorders>
              <w:top w:val="single" w:color="auto" w:sz="2" w:space="0"/>
              <w:left w:val="single" w:color="auto" w:sz="2" w:space="0"/>
              <w:bottom w:val="single" w:color="auto" w:sz="2" w:space="0"/>
              <w:right w:val="single" w:color="auto" w:sz="2" w:space="0"/>
            </w:tcBorders>
            <w:vAlign w:val="center"/>
          </w:tcPr>
          <w:p>
            <w:pPr>
              <w:widowControl/>
              <w:spacing w:line="360" w:lineRule="auto"/>
              <w:rPr>
                <w:rFonts w:ascii="宋体" w:hAnsi="宋体" w:cs="宋体"/>
                <w:kern w:val="0"/>
                <w:sz w:val="24"/>
              </w:rPr>
            </w:pPr>
            <w:r>
              <w:rPr>
                <w:rFonts w:hint="eastAsia" w:ascii="宋体" w:hAnsi="宋体" w:cs="宋体"/>
                <w:kern w:val="0"/>
                <w:sz w:val="24"/>
                <w:szCs w:val="24"/>
              </w:rPr>
              <w:t>供应商近三年（2020.</w:t>
            </w:r>
            <w:r>
              <w:rPr>
                <w:rFonts w:ascii="宋体" w:hAnsi="宋体" w:cs="宋体"/>
                <w:kern w:val="0"/>
                <w:sz w:val="24"/>
                <w:szCs w:val="24"/>
              </w:rPr>
              <w:t>9</w:t>
            </w:r>
            <w:r>
              <w:rPr>
                <w:rFonts w:hint="eastAsia" w:ascii="宋体" w:hAnsi="宋体" w:cs="宋体"/>
                <w:kern w:val="0"/>
                <w:sz w:val="24"/>
                <w:szCs w:val="24"/>
              </w:rPr>
              <w:t>.1至今）实施过的同类业绩情况，每提供1份证明材料，可得2分，本项得分最高</w:t>
            </w:r>
            <w:r>
              <w:rPr>
                <w:rFonts w:ascii="宋体" w:hAnsi="宋体" w:cs="宋体"/>
                <w:kern w:val="0"/>
                <w:sz w:val="24"/>
                <w:szCs w:val="24"/>
              </w:rPr>
              <w:t>8</w:t>
            </w:r>
            <w:r>
              <w:rPr>
                <w:rFonts w:hint="eastAsia" w:ascii="宋体" w:hAnsi="宋体" w:cs="宋体"/>
                <w:kern w:val="0"/>
                <w:sz w:val="24"/>
                <w:szCs w:val="24"/>
              </w:rPr>
              <w:t>分。</w:t>
            </w:r>
            <w:r>
              <w:rPr>
                <w:rFonts w:hint="eastAsia" w:ascii="宋体" w:hAnsi="宋体" w:cs="宋体"/>
                <w:kern w:val="0"/>
                <w:sz w:val="24"/>
                <w:szCs w:val="24"/>
              </w:rPr>
              <w:br w:type="textWrapping"/>
            </w:r>
            <w:r>
              <w:rPr>
                <w:rFonts w:hint="eastAsia" w:ascii="宋体" w:hAnsi="宋体" w:cs="宋体"/>
                <w:kern w:val="0"/>
                <w:sz w:val="24"/>
                <w:szCs w:val="24"/>
              </w:rPr>
              <w:t>注：须提供合同复印件(至少包括明细页、金额页、双方盖章页）并加盖公章。</w:t>
            </w:r>
          </w:p>
        </w:tc>
        <w:tc>
          <w:tcPr>
            <w:tcW w:w="388" w:type="pct"/>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rFonts w:ascii="宋体" w:hAnsi="宋体" w:cs="宋体"/>
                <w:kern w:val="0"/>
                <w:sz w:val="24"/>
              </w:rPr>
            </w:pPr>
            <w:r>
              <w:rPr>
                <w:rFonts w:ascii="宋体" w:hAnsi="宋体" w:cs="宋体"/>
                <w:kern w:val="0"/>
                <w:sz w:val="24"/>
                <w:szCs w:val="24"/>
              </w:rPr>
              <w:t>8</w:t>
            </w:r>
          </w:p>
        </w:tc>
      </w:tr>
    </w:tbl>
    <w:p>
      <w:pPr>
        <w:widowControl/>
        <w:spacing w:line="360" w:lineRule="auto"/>
        <w:jc w:val="left"/>
        <w:rPr>
          <w:rFonts w:ascii="宋体" w:hAnsi="宋体"/>
          <w:b/>
          <w:sz w:val="24"/>
        </w:rPr>
      </w:pPr>
      <w:r>
        <w:rPr>
          <w:rFonts w:hint="eastAsia" w:ascii="宋体" w:hAnsi="宋体"/>
          <w:b/>
          <w:sz w:val="24"/>
        </w:rPr>
        <w:t>附注</w:t>
      </w:r>
    </w:p>
    <w:p>
      <w:pPr>
        <w:widowControl/>
        <w:spacing w:line="360" w:lineRule="auto"/>
        <w:ind w:firstLine="480" w:firstLineChars="200"/>
        <w:rPr>
          <w:rFonts w:ascii="宋体" w:hAnsi="宋体" w:cs="Tahoma"/>
          <w:bCs/>
          <w:kern w:val="0"/>
          <w:sz w:val="24"/>
          <w:szCs w:val="24"/>
        </w:rPr>
      </w:pPr>
      <w:r>
        <w:rPr>
          <w:rFonts w:ascii="宋体" w:hAnsi="宋体"/>
          <w:bCs/>
          <w:sz w:val="24"/>
          <w:szCs w:val="24"/>
        </w:rPr>
        <w:t>1.</w:t>
      </w:r>
      <w:r>
        <w:rPr>
          <w:rFonts w:hint="eastAsia" w:ascii="宋体" w:hAnsi="宋体"/>
          <w:bCs/>
          <w:sz w:val="24"/>
          <w:szCs w:val="24"/>
        </w:rPr>
        <w:t>根据《工业和信息化部、国家统计局、国家发展和改革委员会、财政部关于印发中小企业划型标准规定的通知》（工信部联企业[2011]300号）规定的划分标准，对于符合《政府采购促进中小企业发展管理办法》规定的小微企业报价给予10%的扣除，用扣除后价格作为评标价参加评审。其它形式下，供应商的投标报价即为其评标价。小型和微型企业须按项目性质填写招标文件第七章中规定的“中小企业声明函”，否则不考虑价格扣除</w:t>
      </w:r>
      <w:r>
        <w:rPr>
          <w:rFonts w:hint="eastAsia" w:ascii="宋体" w:hAnsi="宋体" w:cs="Tahoma"/>
          <w:bCs/>
          <w:kern w:val="0"/>
          <w:sz w:val="24"/>
          <w:szCs w:val="24"/>
        </w:rPr>
        <w:t>。</w:t>
      </w:r>
    </w:p>
    <w:p>
      <w:pPr>
        <w:pStyle w:val="23"/>
        <w:tabs>
          <w:tab w:val="left" w:pos="1275"/>
          <w:tab w:val="left" w:pos="1440"/>
          <w:tab w:val="left" w:pos="1620"/>
        </w:tabs>
        <w:spacing w:line="360" w:lineRule="auto"/>
        <w:ind w:left="283" w:leftChars="135" w:firstLine="480" w:firstLineChars="200"/>
        <w:rPr>
          <w:rFonts w:hAnsi="宋体"/>
          <w:sz w:val="24"/>
          <w:szCs w:val="24"/>
        </w:rPr>
      </w:pPr>
      <w:r>
        <w:rPr>
          <w:rFonts w:hint="eastAsia" w:hAnsi="宋体"/>
          <w:sz w:val="24"/>
          <w:szCs w:val="24"/>
        </w:rPr>
        <w:t>（</w:t>
      </w:r>
      <w:r>
        <w:rPr>
          <w:rFonts w:hAnsi="宋体"/>
          <w:sz w:val="24"/>
          <w:szCs w:val="24"/>
        </w:rPr>
        <w:t>1）监狱企业</w:t>
      </w:r>
      <w:r>
        <w:rPr>
          <w:rFonts w:hint="eastAsia" w:hAnsi="宋体"/>
          <w:sz w:val="24"/>
          <w:szCs w:val="24"/>
        </w:rPr>
        <w:t>参与响应</w:t>
      </w:r>
      <w:r>
        <w:rPr>
          <w:rFonts w:hAnsi="宋体"/>
          <w:sz w:val="24"/>
          <w:szCs w:val="24"/>
        </w:rPr>
        <w:t>视同小型、微型企业，须</w:t>
      </w:r>
      <w:r>
        <w:rPr>
          <w:rFonts w:hint="eastAsia" w:hAnsi="宋体" w:cs="Tahoma"/>
          <w:kern w:val="0"/>
          <w:sz w:val="24"/>
          <w:szCs w:val="24"/>
        </w:rPr>
        <w:t>填写磋商</w:t>
      </w:r>
      <w:r>
        <w:rPr>
          <w:rFonts w:hAnsi="宋体" w:cs="Tahoma"/>
          <w:kern w:val="0"/>
          <w:sz w:val="24"/>
          <w:szCs w:val="24"/>
        </w:rPr>
        <w:t>文件</w:t>
      </w:r>
      <w:r>
        <w:rPr>
          <w:rFonts w:hint="eastAsia" w:hAnsi="宋体" w:cs="Tahoma"/>
          <w:kern w:val="0"/>
          <w:sz w:val="24"/>
          <w:szCs w:val="24"/>
        </w:rPr>
        <w:t>第六章规定的“中小企业声明函”并提供由省级以上</w:t>
      </w:r>
      <w:r>
        <w:rPr>
          <w:rFonts w:hint="eastAsia" w:hAnsi="宋体"/>
          <w:sz w:val="24"/>
          <w:szCs w:val="24"/>
        </w:rPr>
        <w:t xml:space="preserve">监狱管理局、戒毒管理局（含新疆生产建设兵团）出具的属于监狱企业的证明文件复印件。 </w:t>
      </w:r>
    </w:p>
    <w:p>
      <w:pPr>
        <w:pStyle w:val="23"/>
        <w:tabs>
          <w:tab w:val="left" w:pos="1275"/>
          <w:tab w:val="left" w:pos="1440"/>
          <w:tab w:val="left" w:pos="1620"/>
        </w:tabs>
        <w:spacing w:line="360" w:lineRule="auto"/>
        <w:ind w:left="283" w:leftChars="135" w:firstLine="480" w:firstLineChars="200"/>
        <w:rPr>
          <w:rFonts w:hAnsi="宋体"/>
          <w:b/>
          <w:sz w:val="24"/>
          <w:szCs w:val="24"/>
        </w:rPr>
      </w:pPr>
      <w:r>
        <w:rPr>
          <w:rFonts w:hint="eastAsia" w:hAnsi="宋体" w:cs="Tahoma"/>
          <w:kern w:val="0"/>
          <w:sz w:val="24"/>
          <w:szCs w:val="24"/>
        </w:rPr>
        <w:t>（</w:t>
      </w:r>
      <w:r>
        <w:rPr>
          <w:rFonts w:hAnsi="宋体" w:cs="Tahoma"/>
          <w:kern w:val="0"/>
          <w:sz w:val="24"/>
          <w:szCs w:val="24"/>
        </w:rPr>
        <w:t>2）残疾人福利性单位</w:t>
      </w:r>
      <w:r>
        <w:rPr>
          <w:rFonts w:hint="eastAsia" w:hAnsi="宋体"/>
          <w:sz w:val="24"/>
          <w:szCs w:val="24"/>
        </w:rPr>
        <w:t>参与</w:t>
      </w:r>
      <w:r>
        <w:rPr>
          <w:rFonts w:hint="eastAsia" w:hAnsi="宋体" w:cs="Tahoma"/>
          <w:kern w:val="0"/>
          <w:sz w:val="24"/>
          <w:szCs w:val="24"/>
        </w:rPr>
        <w:t>响应</w:t>
      </w:r>
      <w:r>
        <w:rPr>
          <w:rFonts w:hAnsi="宋体" w:cs="Tahoma"/>
          <w:kern w:val="0"/>
          <w:sz w:val="24"/>
          <w:szCs w:val="24"/>
        </w:rPr>
        <w:t>视同小型、微型企业</w:t>
      </w:r>
      <w:r>
        <w:rPr>
          <w:rFonts w:hint="eastAsia" w:hAnsi="宋体" w:cs="Tahoma"/>
          <w:kern w:val="0"/>
          <w:sz w:val="24"/>
          <w:szCs w:val="24"/>
        </w:rPr>
        <w:t>，须填写磋商文件第六章中</w:t>
      </w:r>
      <w:r>
        <w:rPr>
          <w:rFonts w:hAnsi="宋体" w:cs="Tahoma"/>
          <w:kern w:val="0"/>
          <w:sz w:val="24"/>
          <w:szCs w:val="24"/>
        </w:rPr>
        <w:t>规定的“残疾人福利性单位声明函</w:t>
      </w:r>
      <w:r>
        <w:rPr>
          <w:rFonts w:hint="eastAsia" w:hAnsi="宋体" w:cs="Tahoma"/>
          <w:kern w:val="0"/>
          <w:sz w:val="24"/>
          <w:szCs w:val="24"/>
        </w:rPr>
        <w:t>”。</w:t>
      </w:r>
      <w:r>
        <w:rPr>
          <w:rFonts w:hAnsi="宋体"/>
          <w:b/>
          <w:sz w:val="24"/>
          <w:szCs w:val="24"/>
        </w:rPr>
        <w:t>残疾人福利性单位属于小型、微型企业的，不重复享受政策。</w:t>
      </w:r>
    </w:p>
    <w:p>
      <w:pPr>
        <w:pStyle w:val="23"/>
        <w:tabs>
          <w:tab w:val="left" w:pos="1275"/>
          <w:tab w:val="left" w:pos="1440"/>
          <w:tab w:val="left" w:pos="1620"/>
        </w:tabs>
        <w:spacing w:line="360" w:lineRule="auto"/>
        <w:ind w:left="283" w:leftChars="135" w:firstLine="480" w:firstLineChars="200"/>
        <w:rPr>
          <w:rFonts w:hAnsi="宋体"/>
          <w:bCs/>
          <w:sz w:val="24"/>
          <w:szCs w:val="24"/>
        </w:rPr>
      </w:pPr>
      <w:r>
        <w:rPr>
          <w:rFonts w:hint="eastAsia" w:hAnsi="宋体"/>
          <w:bCs/>
          <w:sz w:val="24"/>
          <w:szCs w:val="24"/>
        </w:rPr>
        <w:t>（3）本项目对应的中小企业划分标准所属行业为：工业。《中小企业划型标准规定》中规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3"/>
        <w:tabs>
          <w:tab w:val="left" w:pos="1275"/>
          <w:tab w:val="left" w:pos="1440"/>
          <w:tab w:val="left" w:pos="1620"/>
        </w:tabs>
        <w:spacing w:line="360" w:lineRule="auto"/>
        <w:ind w:left="283" w:leftChars="135" w:firstLine="480" w:firstLineChars="200"/>
        <w:rPr>
          <w:rFonts w:hAnsi="宋体"/>
          <w:bCs/>
          <w:sz w:val="24"/>
          <w:szCs w:val="24"/>
        </w:rPr>
      </w:pPr>
      <w:r>
        <w:rPr>
          <w:rFonts w:hint="eastAsia" w:hAnsi="宋体"/>
          <w:bCs/>
          <w:sz w:val="24"/>
          <w:szCs w:val="24"/>
        </w:rPr>
        <w:t>（4）享受中小企业扶持政策获得政府采购合同的，小微企业不得将合同分包给大中型企业，中型企业不得将合同分包给大型企业。</w:t>
      </w:r>
    </w:p>
    <w:p>
      <w:pPr>
        <w:pStyle w:val="23"/>
        <w:tabs>
          <w:tab w:val="left" w:pos="1275"/>
          <w:tab w:val="left" w:pos="1440"/>
          <w:tab w:val="left" w:pos="1620"/>
        </w:tabs>
        <w:spacing w:line="360" w:lineRule="auto"/>
        <w:ind w:left="283" w:leftChars="135" w:firstLine="482" w:firstLineChars="200"/>
        <w:rPr>
          <w:rFonts w:hAnsi="宋体" w:cs="Tahoma"/>
          <w:b/>
          <w:kern w:val="0"/>
          <w:sz w:val="24"/>
          <w:szCs w:val="24"/>
        </w:rPr>
      </w:pPr>
      <w:r>
        <w:rPr>
          <w:rFonts w:hint="eastAsia" w:hAnsi="宋体"/>
          <w:b/>
          <w:sz w:val="24"/>
          <w:szCs w:val="24"/>
        </w:rPr>
        <w:t>（5）供应商提供的《中小企业声明函》内容不实的，属于提供虚假材料谋取中标、成交，依照《中华人民共和国政府采购法》等国家有关规定追究相应责任。</w:t>
      </w:r>
    </w:p>
    <w:p>
      <w:pPr>
        <w:widowControl/>
        <w:spacing w:line="360" w:lineRule="auto"/>
        <w:jc w:val="left"/>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节能</w:t>
      </w:r>
      <w:r>
        <w:rPr>
          <w:rFonts w:hint="eastAsia" w:ascii="宋体" w:hAnsi="宋体"/>
          <w:b/>
          <w:sz w:val="24"/>
          <w:szCs w:val="24"/>
        </w:rPr>
        <w:t>、环保</w:t>
      </w:r>
      <w:r>
        <w:rPr>
          <w:rFonts w:ascii="宋体" w:hAnsi="宋体"/>
          <w:b/>
          <w:sz w:val="24"/>
          <w:szCs w:val="24"/>
        </w:rPr>
        <w:t>产品</w:t>
      </w:r>
      <w:r>
        <w:rPr>
          <w:rFonts w:hint="eastAsia" w:ascii="宋体" w:hAnsi="宋体"/>
          <w:b/>
          <w:sz w:val="24"/>
          <w:szCs w:val="24"/>
        </w:rPr>
        <w:t>（本项目不涉及）</w:t>
      </w:r>
    </w:p>
    <w:p>
      <w:pPr>
        <w:widowControl/>
        <w:spacing w:line="360" w:lineRule="auto"/>
        <w:ind w:firstLine="480" w:firstLineChars="200"/>
        <w:jc w:val="left"/>
        <w:rPr>
          <w:rFonts w:ascii="宋体" w:hAnsi="宋体" w:cs="Tahoma"/>
          <w:kern w:val="0"/>
          <w:sz w:val="24"/>
          <w:szCs w:val="24"/>
        </w:rPr>
      </w:pPr>
      <w:r>
        <w:rPr>
          <w:rFonts w:hint="eastAsia" w:ascii="宋体" w:hAnsi="宋体" w:cs="Tahoma"/>
          <w:kern w:val="0"/>
          <w:sz w:val="24"/>
          <w:szCs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供应商提供的产品必须具有国家确定的认证机构出具的、处于有效期之内的节能产品产品认证证书复印件，否则视为无效响应。</w:t>
      </w:r>
    </w:p>
    <w:p>
      <w:pPr>
        <w:widowControl/>
        <w:spacing w:line="360" w:lineRule="auto"/>
        <w:ind w:firstLine="480" w:firstLineChars="200"/>
        <w:jc w:val="left"/>
        <w:rPr>
          <w:rFonts w:ascii="宋体" w:hAnsi="宋体" w:cs="Tahoma"/>
          <w:kern w:val="0"/>
          <w:sz w:val="24"/>
          <w:szCs w:val="24"/>
        </w:rPr>
      </w:pPr>
      <w:r>
        <w:rPr>
          <w:rFonts w:hint="eastAsia" w:ascii="宋体" w:hAnsi="宋体" w:cs="Tahoma"/>
          <w:kern w:val="0"/>
          <w:sz w:val="24"/>
          <w:szCs w:val="24"/>
        </w:rPr>
        <w:t>如采购人所采购的设备不涉及政府强制采购节能产品的，供应商提供的产品中属于节能产品</w:t>
      </w:r>
      <w:r>
        <w:rPr>
          <w:rFonts w:ascii="宋体" w:hAnsi="宋体" w:cs="Tahoma"/>
          <w:kern w:val="0"/>
          <w:sz w:val="24"/>
          <w:szCs w:val="24"/>
        </w:rPr>
        <w:t>/环境标志产品政府采购品目清单</w:t>
      </w:r>
      <w:r>
        <w:rPr>
          <w:rFonts w:hint="eastAsia" w:ascii="宋体" w:hAnsi="宋体" w:cs="Tahoma"/>
          <w:kern w:val="0"/>
          <w:sz w:val="24"/>
          <w:szCs w:val="24"/>
        </w:rPr>
        <w:t>中优先采购的，应提供国家确定的认证机构出具的、处于有效期之内的节能产品</w:t>
      </w:r>
      <w:r>
        <w:rPr>
          <w:rFonts w:ascii="宋体" w:hAnsi="宋体" w:cs="Tahoma"/>
          <w:kern w:val="0"/>
          <w:sz w:val="24"/>
          <w:szCs w:val="24"/>
        </w:rPr>
        <w:t>/</w:t>
      </w:r>
      <w:r>
        <w:rPr>
          <w:rFonts w:hint="eastAsia" w:ascii="宋体" w:hAnsi="宋体" w:cs="Tahoma"/>
          <w:kern w:val="0"/>
          <w:sz w:val="24"/>
          <w:szCs w:val="24"/>
        </w:rPr>
        <w:t>环境标志产品认证证书复印件，按照节能、环境标志产品得分规则加分。</w:t>
      </w:r>
    </w:p>
    <w:p>
      <w:pPr>
        <w:widowControl/>
        <w:spacing w:line="360" w:lineRule="auto"/>
        <w:ind w:firstLine="480" w:firstLineChars="200"/>
        <w:jc w:val="left"/>
        <w:rPr>
          <w:rFonts w:ascii="宋体" w:hAnsi="宋体" w:cs="Tahoma"/>
          <w:kern w:val="0"/>
          <w:szCs w:val="21"/>
        </w:rPr>
      </w:pPr>
      <w:r>
        <w:rPr>
          <w:rFonts w:ascii="宋体" w:hAnsi="宋体" w:cs="Tahoma"/>
          <w:kern w:val="0"/>
          <w:sz w:val="24"/>
          <w:szCs w:val="24"/>
        </w:rPr>
        <w:br w:type="page"/>
      </w:r>
    </w:p>
    <w:p>
      <w:pPr>
        <w:pStyle w:val="2"/>
        <w:numPr>
          <w:ilvl w:val="0"/>
          <w:numId w:val="0"/>
        </w:numPr>
        <w:spacing w:line="360" w:lineRule="auto"/>
        <w:rPr>
          <w:rFonts w:ascii="宋体" w:hAnsi="宋体"/>
          <w:sz w:val="28"/>
          <w:szCs w:val="24"/>
        </w:rPr>
      </w:pPr>
      <w:bookmarkStart w:id="105" w:name="_Toc146043908"/>
      <w:r>
        <w:rPr>
          <w:rFonts w:hint="eastAsia" w:ascii="宋体" w:hAnsi="宋体"/>
          <w:sz w:val="28"/>
          <w:szCs w:val="24"/>
        </w:rPr>
        <w:t>第六章  响应文件组成和格式</w:t>
      </w:r>
      <w:bookmarkEnd w:id="105"/>
    </w:p>
    <w:p>
      <w:pPr>
        <w:pStyle w:val="3"/>
      </w:pPr>
      <w:bookmarkStart w:id="106" w:name="_Toc146043909"/>
      <w:r>
        <w:rPr>
          <w:rFonts w:hint="eastAsia"/>
        </w:rPr>
        <w:t>一、报价部分</w:t>
      </w:r>
      <w:bookmarkEnd w:id="106"/>
    </w:p>
    <w:p>
      <w:pPr>
        <w:pStyle w:val="4"/>
        <w:rPr>
          <w:rFonts w:ascii="宋体" w:hAnsi="宋体"/>
        </w:rPr>
      </w:pPr>
      <w:bookmarkStart w:id="107" w:name="_Toc146043910"/>
      <w:r>
        <w:rPr>
          <w:rFonts w:hint="eastAsia" w:ascii="宋体" w:hAnsi="宋体"/>
        </w:rPr>
        <w:t>1.报价函</w:t>
      </w:r>
      <w:bookmarkEnd w:id="107"/>
      <w:r>
        <w:rPr>
          <w:rFonts w:hint="eastAsia" w:ascii="宋体" w:hAnsi="宋体"/>
        </w:rPr>
        <w:t xml:space="preserve"> </w:t>
      </w:r>
    </w:p>
    <w:p>
      <w:pPr>
        <w:spacing w:line="360" w:lineRule="auto"/>
        <w:rPr>
          <w:rFonts w:ascii="宋体" w:hAnsi="宋体"/>
          <w:sz w:val="24"/>
          <w:szCs w:val="24"/>
        </w:rPr>
      </w:pPr>
      <w:r>
        <w:rPr>
          <w:rFonts w:hint="eastAsia" w:ascii="宋体" w:hAnsi="宋体"/>
          <w:sz w:val="24"/>
          <w:szCs w:val="24"/>
        </w:rPr>
        <w:t>致北京国际工程咨询有限公司：</w:t>
      </w:r>
    </w:p>
    <w:p>
      <w:pPr>
        <w:spacing w:line="360" w:lineRule="auto"/>
        <w:ind w:firstLine="420"/>
        <w:rPr>
          <w:rFonts w:ascii="宋体" w:hAnsi="宋体"/>
          <w:sz w:val="24"/>
          <w:szCs w:val="24"/>
        </w:rPr>
      </w:pPr>
      <w:r>
        <w:rPr>
          <w:rFonts w:hint="eastAsia" w:ascii="宋体" w:hAnsi="宋体"/>
          <w:sz w:val="24"/>
          <w:szCs w:val="24"/>
        </w:rPr>
        <w:t>根据贵方为</w:t>
      </w:r>
      <w:r>
        <w:rPr>
          <w:rFonts w:hint="eastAsia" w:ascii="宋体" w:hAnsi="宋体"/>
          <w:sz w:val="24"/>
          <w:szCs w:val="24"/>
          <w:u w:val="single"/>
        </w:rPr>
        <w:t>（项目名称）</w:t>
      </w:r>
      <w:r>
        <w:rPr>
          <w:rFonts w:hint="eastAsia" w:ascii="宋体" w:hAnsi="宋体"/>
          <w:sz w:val="24"/>
          <w:szCs w:val="24"/>
        </w:rPr>
        <w:t>项目磋商采购货物及服务的磋商邀请</w:t>
      </w:r>
      <w:r>
        <w:rPr>
          <w:rFonts w:hint="eastAsia" w:ascii="宋体" w:hAnsi="宋体"/>
          <w:sz w:val="24"/>
          <w:szCs w:val="24"/>
          <w:u w:val="single"/>
        </w:rPr>
        <w:t>（项目编号）</w:t>
      </w:r>
      <w:r>
        <w:rPr>
          <w:rFonts w:hint="eastAsia" w:ascii="宋体" w:hAnsi="宋体"/>
          <w:sz w:val="24"/>
          <w:szCs w:val="24"/>
        </w:rPr>
        <w:t>，签字代表</w:t>
      </w:r>
      <w:r>
        <w:rPr>
          <w:rFonts w:hint="eastAsia" w:ascii="宋体" w:hAnsi="宋体"/>
          <w:sz w:val="24"/>
          <w:szCs w:val="24"/>
          <w:u w:val="single"/>
        </w:rPr>
        <w:t>（姓名、职务</w:t>
      </w:r>
      <w:r>
        <w:rPr>
          <w:rFonts w:hint="eastAsia" w:ascii="宋体" w:hAnsi="宋体"/>
          <w:sz w:val="24"/>
          <w:szCs w:val="24"/>
        </w:rPr>
        <w:t>）经正式授权并代表供应商</w:t>
      </w:r>
      <w:r>
        <w:rPr>
          <w:rFonts w:hint="eastAsia" w:ascii="宋体" w:hAnsi="宋体"/>
          <w:sz w:val="24"/>
          <w:szCs w:val="24"/>
          <w:u w:val="single"/>
        </w:rPr>
        <w:t>（供应商名称、地址）</w:t>
      </w:r>
      <w:r>
        <w:rPr>
          <w:rFonts w:hint="eastAsia" w:ascii="宋体" w:hAnsi="宋体"/>
          <w:sz w:val="24"/>
          <w:szCs w:val="24"/>
        </w:rPr>
        <w:t>提交下述文件正本一份及副本三份：</w:t>
      </w:r>
    </w:p>
    <w:p>
      <w:pPr>
        <w:numPr>
          <w:ilvl w:val="0"/>
          <w:numId w:val="10"/>
        </w:numPr>
        <w:spacing w:line="360" w:lineRule="auto"/>
        <w:rPr>
          <w:rFonts w:ascii="宋体" w:hAnsi="宋体"/>
          <w:sz w:val="24"/>
          <w:szCs w:val="24"/>
        </w:rPr>
      </w:pPr>
      <w:r>
        <w:rPr>
          <w:rFonts w:hint="eastAsia" w:ascii="宋体" w:hAnsi="宋体"/>
          <w:sz w:val="24"/>
          <w:szCs w:val="24"/>
        </w:rPr>
        <w:t>报价部分</w:t>
      </w:r>
    </w:p>
    <w:p>
      <w:pPr>
        <w:spacing w:line="360" w:lineRule="auto"/>
        <w:ind w:left="716" w:leftChars="341" w:firstLine="120" w:firstLineChars="50"/>
        <w:rPr>
          <w:rFonts w:ascii="宋体" w:hAnsi="宋体"/>
          <w:sz w:val="24"/>
          <w:szCs w:val="24"/>
        </w:rPr>
      </w:pPr>
      <w:r>
        <w:rPr>
          <w:rFonts w:hint="eastAsia" w:ascii="宋体" w:hAnsi="宋体"/>
          <w:sz w:val="24"/>
          <w:szCs w:val="24"/>
        </w:rPr>
        <w:t>1.1报价函</w:t>
      </w:r>
    </w:p>
    <w:p>
      <w:pPr>
        <w:spacing w:line="360" w:lineRule="auto"/>
        <w:ind w:left="716" w:leftChars="341" w:firstLine="120" w:firstLineChars="50"/>
        <w:rPr>
          <w:rFonts w:ascii="宋体" w:hAnsi="宋体"/>
          <w:sz w:val="24"/>
          <w:szCs w:val="24"/>
        </w:rPr>
      </w:pPr>
      <w:r>
        <w:rPr>
          <w:rFonts w:hint="eastAsia" w:ascii="宋体" w:hAnsi="宋体"/>
          <w:sz w:val="24"/>
          <w:szCs w:val="24"/>
        </w:rPr>
        <w:t>1.2总报价表</w:t>
      </w:r>
    </w:p>
    <w:p>
      <w:pPr>
        <w:spacing w:line="360" w:lineRule="auto"/>
        <w:ind w:firstLine="840" w:firstLineChars="350"/>
        <w:rPr>
          <w:rFonts w:ascii="宋体" w:hAnsi="宋体"/>
          <w:sz w:val="24"/>
          <w:szCs w:val="24"/>
        </w:rPr>
      </w:pPr>
      <w:r>
        <w:rPr>
          <w:rFonts w:hint="eastAsia" w:ascii="宋体" w:hAnsi="宋体"/>
          <w:sz w:val="24"/>
          <w:szCs w:val="24"/>
        </w:rPr>
        <w:t>1.3分项报价表</w:t>
      </w:r>
    </w:p>
    <w:p>
      <w:pPr>
        <w:numPr>
          <w:ilvl w:val="0"/>
          <w:numId w:val="10"/>
        </w:numPr>
        <w:spacing w:line="360" w:lineRule="auto"/>
        <w:rPr>
          <w:rFonts w:ascii="宋体" w:hAnsi="宋体"/>
          <w:sz w:val="24"/>
          <w:szCs w:val="24"/>
        </w:rPr>
      </w:pPr>
      <w:r>
        <w:rPr>
          <w:rFonts w:hint="eastAsia" w:ascii="宋体" w:hAnsi="宋体"/>
          <w:sz w:val="24"/>
          <w:szCs w:val="24"/>
        </w:rPr>
        <w:t>商务部分</w:t>
      </w:r>
    </w:p>
    <w:p>
      <w:pPr>
        <w:spacing w:line="360" w:lineRule="auto"/>
        <w:ind w:left="716" w:leftChars="341" w:firstLine="120" w:firstLineChars="50"/>
        <w:rPr>
          <w:rFonts w:ascii="宋体" w:hAnsi="宋体"/>
          <w:sz w:val="24"/>
          <w:szCs w:val="24"/>
        </w:rPr>
      </w:pPr>
      <w:r>
        <w:rPr>
          <w:rFonts w:hint="eastAsia" w:ascii="宋体" w:hAnsi="宋体"/>
          <w:sz w:val="24"/>
          <w:szCs w:val="24"/>
        </w:rPr>
        <w:t>2.1资格证明文件</w:t>
      </w:r>
    </w:p>
    <w:p>
      <w:pPr>
        <w:spacing w:line="360" w:lineRule="auto"/>
        <w:ind w:left="716" w:leftChars="341" w:firstLine="120" w:firstLineChars="50"/>
        <w:rPr>
          <w:rFonts w:ascii="宋体" w:hAnsi="宋体"/>
          <w:sz w:val="24"/>
          <w:szCs w:val="24"/>
        </w:rPr>
      </w:pPr>
      <w:r>
        <w:rPr>
          <w:rFonts w:hint="eastAsia" w:ascii="宋体" w:hAnsi="宋体"/>
          <w:sz w:val="24"/>
          <w:szCs w:val="24"/>
        </w:rPr>
        <w:t>2.2业绩案例一览表</w:t>
      </w:r>
    </w:p>
    <w:p>
      <w:pPr>
        <w:spacing w:line="360" w:lineRule="auto"/>
        <w:ind w:left="716" w:leftChars="341" w:firstLine="120" w:firstLineChars="50"/>
        <w:rPr>
          <w:rFonts w:ascii="宋体" w:hAnsi="宋体"/>
          <w:sz w:val="24"/>
          <w:szCs w:val="24"/>
        </w:rPr>
      </w:pPr>
      <w:r>
        <w:rPr>
          <w:rFonts w:hint="eastAsia" w:ascii="宋体" w:hAnsi="宋体"/>
          <w:sz w:val="24"/>
          <w:szCs w:val="24"/>
        </w:rPr>
        <w:t>2</w:t>
      </w:r>
      <w:r>
        <w:rPr>
          <w:rFonts w:ascii="宋体" w:hAnsi="宋体"/>
          <w:sz w:val="24"/>
          <w:szCs w:val="24"/>
        </w:rPr>
        <w:t>.3</w:t>
      </w:r>
      <w:r>
        <w:rPr>
          <w:rFonts w:hint="eastAsia" w:ascii="宋体" w:hAnsi="宋体"/>
          <w:sz w:val="24"/>
          <w:szCs w:val="24"/>
        </w:rPr>
        <w:t>商务条款偏离表</w:t>
      </w:r>
    </w:p>
    <w:p>
      <w:pPr>
        <w:spacing w:line="360" w:lineRule="auto"/>
        <w:ind w:firstLine="840" w:firstLineChars="350"/>
        <w:rPr>
          <w:rFonts w:ascii="宋体" w:hAnsi="宋体"/>
          <w:sz w:val="24"/>
          <w:szCs w:val="24"/>
        </w:rPr>
      </w:pPr>
      <w:r>
        <w:rPr>
          <w:rFonts w:hint="eastAsia" w:ascii="宋体" w:hAnsi="宋体"/>
          <w:sz w:val="24"/>
          <w:szCs w:val="24"/>
        </w:rPr>
        <w:t>……</w:t>
      </w:r>
    </w:p>
    <w:p>
      <w:pPr>
        <w:numPr>
          <w:ilvl w:val="0"/>
          <w:numId w:val="10"/>
        </w:numPr>
        <w:spacing w:line="360" w:lineRule="auto"/>
        <w:rPr>
          <w:rFonts w:ascii="宋体" w:hAnsi="宋体"/>
          <w:sz w:val="24"/>
          <w:szCs w:val="24"/>
        </w:rPr>
      </w:pPr>
      <w:r>
        <w:rPr>
          <w:rFonts w:hint="eastAsia" w:ascii="宋体" w:hAnsi="宋体"/>
          <w:sz w:val="24"/>
          <w:szCs w:val="24"/>
        </w:rPr>
        <w:t>技术服务部分</w:t>
      </w:r>
    </w:p>
    <w:p>
      <w:pPr>
        <w:spacing w:line="360" w:lineRule="auto"/>
        <w:ind w:left="716" w:leftChars="341" w:firstLine="120" w:firstLineChars="50"/>
        <w:rPr>
          <w:rFonts w:ascii="宋体" w:hAnsi="宋体"/>
          <w:sz w:val="24"/>
          <w:szCs w:val="24"/>
        </w:rPr>
      </w:pPr>
      <w:r>
        <w:rPr>
          <w:rFonts w:hint="eastAsia" w:ascii="宋体" w:hAnsi="宋体"/>
          <w:sz w:val="24"/>
          <w:szCs w:val="24"/>
        </w:rPr>
        <w:t>3.1技术偏离表；</w:t>
      </w:r>
    </w:p>
    <w:p>
      <w:pPr>
        <w:spacing w:line="360" w:lineRule="auto"/>
        <w:ind w:left="716" w:leftChars="341" w:firstLine="120" w:firstLineChars="50"/>
        <w:rPr>
          <w:rFonts w:ascii="宋体" w:hAnsi="宋体"/>
          <w:sz w:val="24"/>
          <w:szCs w:val="24"/>
        </w:rPr>
      </w:pPr>
      <w:r>
        <w:rPr>
          <w:rFonts w:hint="eastAsia" w:ascii="宋体" w:hAnsi="宋体"/>
          <w:sz w:val="24"/>
          <w:szCs w:val="24"/>
        </w:rPr>
        <w:t>3.2详细的技术方案和说明（格式自定）；</w:t>
      </w:r>
    </w:p>
    <w:p>
      <w:pPr>
        <w:spacing w:line="360" w:lineRule="auto"/>
        <w:ind w:left="716" w:leftChars="341" w:firstLine="120" w:firstLineChars="50"/>
        <w:rPr>
          <w:rFonts w:ascii="宋体" w:hAnsi="宋体"/>
          <w:sz w:val="24"/>
          <w:szCs w:val="24"/>
        </w:rPr>
      </w:pPr>
      <w:r>
        <w:rPr>
          <w:rFonts w:hint="eastAsia" w:ascii="宋体" w:hAnsi="宋体"/>
          <w:sz w:val="24"/>
          <w:szCs w:val="24"/>
        </w:rPr>
        <w:t>3.3供应商提供的为本项目服务的人员情况说明（格式自定）；</w:t>
      </w:r>
    </w:p>
    <w:p>
      <w:pPr>
        <w:spacing w:line="360" w:lineRule="auto"/>
        <w:ind w:left="716" w:leftChars="341" w:firstLine="120" w:firstLineChars="50"/>
        <w:rPr>
          <w:rFonts w:ascii="宋体" w:hAnsi="宋体"/>
          <w:sz w:val="24"/>
          <w:szCs w:val="24"/>
        </w:rPr>
      </w:pPr>
      <w:r>
        <w:rPr>
          <w:rFonts w:ascii="宋体" w:hAnsi="宋体"/>
          <w:sz w:val="24"/>
          <w:szCs w:val="24"/>
        </w:rPr>
        <w:t>……</w:t>
      </w:r>
    </w:p>
    <w:p>
      <w:pPr>
        <w:spacing w:line="360" w:lineRule="auto"/>
        <w:ind w:firstLine="720" w:firstLineChars="300"/>
        <w:rPr>
          <w:rFonts w:ascii="宋体" w:hAnsi="宋体"/>
          <w:sz w:val="24"/>
          <w:szCs w:val="24"/>
        </w:rPr>
      </w:pP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由</w:t>
      </w:r>
      <w:r>
        <w:rPr>
          <w:rFonts w:hint="eastAsia" w:ascii="宋体" w:hAnsi="宋体"/>
          <w:sz w:val="24"/>
          <w:szCs w:val="24"/>
          <w:u w:val="single"/>
        </w:rPr>
        <w:t>（银行名称）</w:t>
      </w:r>
      <w:r>
        <w:rPr>
          <w:rFonts w:hint="eastAsia" w:ascii="宋体" w:hAnsi="宋体"/>
          <w:sz w:val="24"/>
          <w:szCs w:val="24"/>
        </w:rPr>
        <w:t>出具的磋商保证金，金额为</w:t>
      </w:r>
      <w:r>
        <w:rPr>
          <w:rFonts w:hint="eastAsia" w:ascii="宋体" w:hAnsi="宋体"/>
          <w:sz w:val="24"/>
          <w:szCs w:val="24"/>
          <w:u w:val="single"/>
        </w:rPr>
        <w:t>（金额数和币种）</w:t>
      </w:r>
    </w:p>
    <w:p>
      <w:pPr>
        <w:spacing w:line="360" w:lineRule="auto"/>
        <w:ind w:firstLine="720" w:firstLineChars="300"/>
        <w:rPr>
          <w:rFonts w:ascii="宋体" w:hAnsi="宋体"/>
          <w:sz w:val="24"/>
          <w:szCs w:val="24"/>
        </w:rPr>
      </w:pP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按竞争性磋商文件供应商须知和技术规范要求提供的有关文件。</w:t>
      </w:r>
    </w:p>
    <w:p>
      <w:pPr>
        <w:spacing w:line="360" w:lineRule="auto"/>
        <w:ind w:left="420"/>
        <w:rPr>
          <w:rFonts w:ascii="宋体" w:hAnsi="宋体"/>
          <w:sz w:val="24"/>
          <w:szCs w:val="24"/>
        </w:rPr>
      </w:pPr>
      <w:r>
        <w:rPr>
          <w:rFonts w:hint="eastAsia" w:ascii="宋体" w:hAnsi="宋体"/>
          <w:sz w:val="24"/>
          <w:szCs w:val="24"/>
        </w:rPr>
        <w:t>在此，签字代表宣布同意如下：</w:t>
      </w:r>
    </w:p>
    <w:p>
      <w:pPr>
        <w:numPr>
          <w:ilvl w:val="0"/>
          <w:numId w:val="11"/>
        </w:numPr>
        <w:spacing w:line="360" w:lineRule="auto"/>
        <w:rPr>
          <w:rFonts w:ascii="宋体" w:hAnsi="宋体"/>
          <w:sz w:val="24"/>
          <w:szCs w:val="24"/>
        </w:rPr>
      </w:pPr>
      <w:r>
        <w:rPr>
          <w:rFonts w:hint="eastAsia" w:ascii="宋体" w:hAnsi="宋体"/>
          <w:sz w:val="24"/>
          <w:szCs w:val="24"/>
        </w:rPr>
        <w:t>所附报价价格表中规定的应提交和交付的货物/服务报价总价为</w:t>
      </w:r>
      <w:r>
        <w:rPr>
          <w:rFonts w:hint="eastAsia" w:ascii="宋体" w:hAnsi="宋体"/>
          <w:sz w:val="24"/>
          <w:szCs w:val="24"/>
          <w:u w:val="single"/>
        </w:rPr>
        <w:t>（注明币种，并用文字和数字表示的报价总价）</w:t>
      </w:r>
      <w:r>
        <w:rPr>
          <w:rFonts w:hint="eastAsia" w:ascii="宋体" w:hAnsi="宋体"/>
          <w:sz w:val="24"/>
          <w:szCs w:val="24"/>
        </w:rPr>
        <w:t>。</w:t>
      </w:r>
    </w:p>
    <w:p>
      <w:pPr>
        <w:numPr>
          <w:ilvl w:val="0"/>
          <w:numId w:val="11"/>
        </w:numPr>
        <w:spacing w:line="360" w:lineRule="auto"/>
        <w:rPr>
          <w:rFonts w:ascii="宋体" w:hAnsi="宋体"/>
          <w:sz w:val="24"/>
          <w:szCs w:val="24"/>
        </w:rPr>
      </w:pPr>
      <w:r>
        <w:rPr>
          <w:rFonts w:hint="eastAsia" w:ascii="宋体" w:hAnsi="宋体"/>
          <w:sz w:val="24"/>
          <w:szCs w:val="24"/>
        </w:rPr>
        <w:t>供应商将按竞争性磋商文件的规定履行合同责任和义务。</w:t>
      </w:r>
    </w:p>
    <w:p>
      <w:pPr>
        <w:numPr>
          <w:ilvl w:val="0"/>
          <w:numId w:val="11"/>
        </w:numPr>
        <w:spacing w:line="360" w:lineRule="auto"/>
        <w:rPr>
          <w:rFonts w:ascii="宋体" w:hAnsi="宋体"/>
          <w:sz w:val="24"/>
          <w:szCs w:val="24"/>
        </w:rPr>
      </w:pPr>
      <w:r>
        <w:rPr>
          <w:rFonts w:hint="eastAsia" w:ascii="宋体" w:hAnsi="宋体"/>
          <w:sz w:val="24"/>
          <w:szCs w:val="24"/>
        </w:rPr>
        <w:t>供应商已详细审查全部竞争性磋商文件，包括第</w:t>
      </w:r>
      <w:r>
        <w:rPr>
          <w:rFonts w:hint="eastAsia" w:ascii="宋体" w:hAnsi="宋体"/>
          <w:sz w:val="24"/>
          <w:szCs w:val="24"/>
          <w:u w:val="single"/>
        </w:rPr>
        <w:t>（编号、补遗书）（如果有的话）</w:t>
      </w:r>
      <w:r>
        <w:rPr>
          <w:rFonts w:hint="eastAsia" w:ascii="宋体" w:hAnsi="宋体"/>
          <w:sz w:val="24"/>
          <w:szCs w:val="24"/>
        </w:rPr>
        <w:t>。我们完全理解并同意放弃对这方面有不明及误解的权力。</w:t>
      </w:r>
    </w:p>
    <w:p>
      <w:pPr>
        <w:numPr>
          <w:ilvl w:val="0"/>
          <w:numId w:val="11"/>
        </w:numPr>
        <w:spacing w:line="360" w:lineRule="auto"/>
        <w:rPr>
          <w:rFonts w:ascii="宋体" w:hAnsi="宋体"/>
          <w:sz w:val="24"/>
          <w:szCs w:val="24"/>
        </w:rPr>
      </w:pPr>
      <w:r>
        <w:rPr>
          <w:rFonts w:hint="eastAsia" w:ascii="宋体" w:hAnsi="宋体"/>
          <w:sz w:val="24"/>
          <w:szCs w:val="24"/>
        </w:rPr>
        <w:t>本报价有效期为自磋商之日起</w:t>
      </w:r>
      <w:r>
        <w:rPr>
          <w:rFonts w:hint="eastAsia" w:ascii="宋体" w:hAnsi="宋体"/>
          <w:sz w:val="24"/>
          <w:szCs w:val="24"/>
          <w:u w:val="single"/>
        </w:rPr>
        <w:t xml:space="preserve">   90   </w:t>
      </w:r>
      <w:r>
        <w:rPr>
          <w:rFonts w:hint="eastAsia" w:ascii="宋体" w:hAnsi="宋体"/>
          <w:sz w:val="24"/>
          <w:szCs w:val="24"/>
        </w:rPr>
        <w:t>个日历日。</w:t>
      </w:r>
    </w:p>
    <w:p>
      <w:pPr>
        <w:numPr>
          <w:ilvl w:val="0"/>
          <w:numId w:val="11"/>
        </w:numPr>
        <w:spacing w:line="360" w:lineRule="auto"/>
        <w:rPr>
          <w:rFonts w:ascii="宋体" w:hAnsi="宋体"/>
          <w:sz w:val="24"/>
          <w:szCs w:val="24"/>
        </w:rPr>
      </w:pPr>
      <w:r>
        <w:rPr>
          <w:rFonts w:hint="eastAsia" w:ascii="宋体" w:hAnsi="宋体"/>
          <w:sz w:val="24"/>
          <w:szCs w:val="24"/>
        </w:rPr>
        <w:t>我方保证遵守磋商文件中有关磋商保证金的规定。</w:t>
      </w:r>
    </w:p>
    <w:p>
      <w:pPr>
        <w:numPr>
          <w:ilvl w:val="0"/>
          <w:numId w:val="11"/>
        </w:numPr>
        <w:spacing w:line="360" w:lineRule="auto"/>
        <w:rPr>
          <w:rFonts w:ascii="宋体" w:hAnsi="宋体"/>
          <w:sz w:val="24"/>
          <w:szCs w:val="24"/>
        </w:rPr>
      </w:pPr>
      <w:r>
        <w:rPr>
          <w:rFonts w:hint="eastAsia" w:ascii="宋体" w:hAnsi="宋体"/>
          <w:sz w:val="24"/>
          <w:szCs w:val="24"/>
        </w:rPr>
        <w:t>我方在提交首次响应文件之前，未曾为本项目响应包号提供过规范编制或者项目管理、监理、检测等服务，也没有被列入失信被执行人、重大税收违法案件当事人、政府采购严重违法失信行为记录名单。贵方或磋商小组可通过“信用中国”网站（www.creditchina. gov.cn）和中国政府采购网（www.ccgp.gov.cn）等进行查询，我方完全接受查询的结果。</w:t>
      </w:r>
    </w:p>
    <w:p>
      <w:pPr>
        <w:numPr>
          <w:ilvl w:val="0"/>
          <w:numId w:val="11"/>
        </w:numPr>
        <w:spacing w:line="360" w:lineRule="auto"/>
        <w:rPr>
          <w:rFonts w:ascii="宋体" w:hAnsi="宋体"/>
          <w:sz w:val="24"/>
          <w:szCs w:val="24"/>
        </w:rPr>
      </w:pPr>
      <w:r>
        <w:rPr>
          <w:rFonts w:hint="eastAsia" w:ascii="宋体" w:hAnsi="宋体"/>
          <w:sz w:val="24"/>
          <w:szCs w:val="24"/>
        </w:rPr>
        <w:t>我方已完全理解和接受磋商文件的内容，同意提供按照贵方可能要求的与其磋商有关的一切数据或资料，完全理解贵方不一定接受最低价的响应或收到的任何响应。</w:t>
      </w:r>
    </w:p>
    <w:p>
      <w:pPr>
        <w:numPr>
          <w:ilvl w:val="0"/>
          <w:numId w:val="11"/>
        </w:numPr>
        <w:spacing w:line="360" w:lineRule="auto"/>
        <w:rPr>
          <w:rFonts w:ascii="宋体" w:hAnsi="宋体"/>
          <w:sz w:val="24"/>
          <w:szCs w:val="24"/>
        </w:rPr>
      </w:pPr>
      <w:r>
        <w:rPr>
          <w:rFonts w:hint="eastAsia" w:ascii="宋体" w:hAnsi="宋体"/>
          <w:sz w:val="24"/>
          <w:szCs w:val="24"/>
        </w:rPr>
        <w:t>与本磋商有关的一切正式往来信函请寄：</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 xml:space="preserve">  电子函件</w:t>
      </w:r>
      <w:r>
        <w:rPr>
          <w:rFonts w:hint="eastAsia" w:ascii="宋体" w:hAnsi="宋体"/>
          <w:sz w:val="24"/>
          <w:szCs w:val="24"/>
          <w:u w:val="single"/>
        </w:rPr>
        <w:t xml:space="preserve">                            </w:t>
      </w:r>
    </w:p>
    <w:p>
      <w:pPr>
        <w:spacing w:line="360" w:lineRule="auto"/>
        <w:rPr>
          <w:rFonts w:ascii="宋体" w:hAnsi="宋体"/>
          <w:sz w:val="24"/>
          <w:szCs w:val="24"/>
        </w:rPr>
      </w:pPr>
    </w:p>
    <w:p>
      <w:pPr>
        <w:widowControl/>
        <w:autoSpaceDE w:val="0"/>
        <w:autoSpaceDN w:val="0"/>
        <w:spacing w:line="360" w:lineRule="auto"/>
        <w:ind w:left="359" w:right="26" w:hanging="357"/>
        <w:textAlignment w:val="bottom"/>
        <w:rPr>
          <w:rFonts w:ascii="宋体" w:hAnsi="宋体"/>
          <w:sz w:val="24"/>
          <w:szCs w:val="24"/>
        </w:rPr>
      </w:pPr>
      <w:r>
        <w:rPr>
          <w:rFonts w:hint="eastAsia" w:ascii="宋体" w:hAnsi="宋体"/>
          <w:sz w:val="24"/>
          <w:szCs w:val="24"/>
        </w:rPr>
        <w:t>供应商代表签字_________________________</w:t>
      </w:r>
    </w:p>
    <w:p>
      <w:pPr>
        <w:widowControl/>
        <w:autoSpaceDE w:val="0"/>
        <w:autoSpaceDN w:val="0"/>
        <w:spacing w:line="360" w:lineRule="auto"/>
        <w:ind w:left="359" w:right="26" w:hanging="357"/>
        <w:textAlignment w:val="bottom"/>
        <w:rPr>
          <w:rFonts w:ascii="宋体" w:hAnsi="宋体"/>
          <w:sz w:val="24"/>
          <w:szCs w:val="24"/>
        </w:rPr>
      </w:pPr>
      <w:r>
        <w:rPr>
          <w:rFonts w:hint="eastAsia" w:ascii="宋体" w:hAnsi="宋体"/>
          <w:sz w:val="24"/>
          <w:szCs w:val="24"/>
        </w:rPr>
        <w:t>供应商名称（全称）_________________________</w:t>
      </w:r>
    </w:p>
    <w:p>
      <w:pPr>
        <w:widowControl/>
        <w:autoSpaceDE w:val="0"/>
        <w:autoSpaceDN w:val="0"/>
        <w:spacing w:line="360" w:lineRule="auto"/>
        <w:ind w:left="359" w:right="26" w:hanging="357"/>
        <w:textAlignment w:val="bottom"/>
        <w:rPr>
          <w:rFonts w:ascii="宋体" w:hAnsi="宋体"/>
          <w:sz w:val="24"/>
          <w:szCs w:val="24"/>
        </w:rPr>
      </w:pPr>
      <w:r>
        <w:rPr>
          <w:rFonts w:hint="eastAsia" w:ascii="宋体" w:hAnsi="宋体"/>
          <w:sz w:val="24"/>
          <w:szCs w:val="24"/>
        </w:rPr>
        <w:t>供应商开户银行（全称）_________________________</w:t>
      </w:r>
    </w:p>
    <w:p>
      <w:pPr>
        <w:widowControl/>
        <w:autoSpaceDE w:val="0"/>
        <w:autoSpaceDN w:val="0"/>
        <w:spacing w:line="360" w:lineRule="auto"/>
        <w:ind w:left="359" w:right="26" w:hanging="357"/>
        <w:textAlignment w:val="bottom"/>
        <w:rPr>
          <w:rFonts w:ascii="宋体" w:hAnsi="宋体"/>
          <w:sz w:val="24"/>
          <w:szCs w:val="24"/>
        </w:rPr>
      </w:pPr>
      <w:r>
        <w:rPr>
          <w:rFonts w:hint="eastAsia" w:ascii="宋体" w:hAnsi="宋体"/>
          <w:sz w:val="24"/>
          <w:szCs w:val="24"/>
        </w:rPr>
        <w:t>供应商银行帐号　　　　　　　　　　</w:t>
      </w:r>
    </w:p>
    <w:p>
      <w:pPr>
        <w:widowControl/>
        <w:autoSpaceDE w:val="0"/>
        <w:autoSpaceDN w:val="0"/>
        <w:spacing w:line="360" w:lineRule="auto"/>
        <w:ind w:left="359" w:right="26" w:hanging="357"/>
        <w:textAlignment w:val="bottom"/>
        <w:rPr>
          <w:rFonts w:ascii="宋体" w:hAnsi="宋体"/>
          <w:sz w:val="24"/>
          <w:szCs w:val="24"/>
        </w:rPr>
      </w:pPr>
      <w:r>
        <w:rPr>
          <w:rFonts w:hint="eastAsia" w:ascii="宋体" w:hAnsi="宋体"/>
          <w:sz w:val="24"/>
          <w:szCs w:val="24"/>
        </w:rPr>
        <w:t>供应商公章_________________________</w:t>
      </w:r>
    </w:p>
    <w:p>
      <w:pPr>
        <w:widowControl/>
        <w:autoSpaceDE w:val="0"/>
        <w:autoSpaceDN w:val="0"/>
        <w:spacing w:line="360" w:lineRule="auto"/>
        <w:ind w:left="359" w:right="26" w:hanging="357"/>
        <w:textAlignment w:val="bottom"/>
        <w:rPr>
          <w:rFonts w:ascii="宋体" w:hAnsi="宋体"/>
          <w:sz w:val="24"/>
          <w:szCs w:val="24"/>
          <w:u w:val="single"/>
        </w:rPr>
      </w:pPr>
      <w:r>
        <w:rPr>
          <w:rFonts w:hint="eastAsia" w:ascii="宋体" w:hAnsi="宋体"/>
          <w:sz w:val="24"/>
          <w:szCs w:val="24"/>
        </w:rPr>
        <w:t>日期_________________________</w:t>
      </w:r>
    </w:p>
    <w:p>
      <w:pPr>
        <w:widowControl/>
        <w:autoSpaceDE w:val="0"/>
        <w:autoSpaceDN w:val="0"/>
        <w:spacing w:line="360" w:lineRule="auto"/>
        <w:ind w:left="359" w:right="26" w:hanging="357"/>
        <w:textAlignment w:val="bottom"/>
        <w:rPr>
          <w:rFonts w:ascii="宋体" w:hAnsi="宋体"/>
          <w:sz w:val="24"/>
          <w:szCs w:val="24"/>
          <w:u w:val="single"/>
        </w:rPr>
      </w:pPr>
    </w:p>
    <w:p>
      <w:pPr>
        <w:widowControl/>
        <w:autoSpaceDE w:val="0"/>
        <w:autoSpaceDN w:val="0"/>
        <w:spacing w:line="360" w:lineRule="auto"/>
        <w:ind w:left="359" w:right="26" w:hanging="357"/>
        <w:textAlignment w:val="bottom"/>
        <w:rPr>
          <w:rFonts w:ascii="宋体" w:hAnsi="宋体"/>
          <w:sz w:val="24"/>
          <w:szCs w:val="24"/>
          <w:u w:val="single"/>
        </w:rPr>
      </w:pPr>
    </w:p>
    <w:p>
      <w:pPr>
        <w:widowControl/>
        <w:autoSpaceDE w:val="0"/>
        <w:autoSpaceDN w:val="0"/>
        <w:spacing w:line="360" w:lineRule="auto"/>
        <w:ind w:left="359" w:right="26" w:hanging="357"/>
        <w:textAlignment w:val="bottom"/>
        <w:rPr>
          <w:rFonts w:ascii="宋体" w:hAnsi="宋体"/>
          <w:sz w:val="24"/>
          <w:szCs w:val="24"/>
          <w:u w:val="single"/>
        </w:rPr>
      </w:pPr>
    </w:p>
    <w:p>
      <w:pPr>
        <w:widowControl/>
        <w:autoSpaceDE w:val="0"/>
        <w:autoSpaceDN w:val="0"/>
        <w:spacing w:line="360" w:lineRule="auto"/>
        <w:ind w:left="359" w:right="26" w:hanging="357"/>
        <w:textAlignment w:val="bottom"/>
        <w:rPr>
          <w:rFonts w:ascii="宋体" w:hAnsi="宋体"/>
          <w:sz w:val="24"/>
          <w:szCs w:val="24"/>
          <w:u w:val="single"/>
        </w:rPr>
      </w:pPr>
    </w:p>
    <w:p>
      <w:pPr>
        <w:pStyle w:val="4"/>
        <w:rPr>
          <w:rFonts w:ascii="宋体" w:hAnsi="宋体"/>
        </w:rPr>
      </w:pPr>
      <w:r>
        <w:rPr>
          <w:rFonts w:ascii="宋体" w:hAnsi="宋体"/>
        </w:rPr>
        <w:br w:type="page"/>
      </w:r>
      <w:bookmarkStart w:id="108" w:name="_Toc146043911"/>
      <w:r>
        <w:rPr>
          <w:rFonts w:hint="eastAsia" w:ascii="宋体" w:hAnsi="宋体"/>
        </w:rPr>
        <w:t>2.报价表格式</w:t>
      </w:r>
      <w:bookmarkEnd w:id="108"/>
      <w:r>
        <w:rPr>
          <w:rFonts w:hint="eastAsia" w:ascii="宋体" w:hAnsi="宋体"/>
        </w:rPr>
        <w:t xml:space="preserve"> </w:t>
      </w:r>
    </w:p>
    <w:p>
      <w:pPr>
        <w:spacing w:line="360" w:lineRule="auto"/>
        <w:rPr>
          <w:rFonts w:ascii="宋体" w:hAnsi="宋体"/>
          <w:sz w:val="24"/>
          <w:szCs w:val="24"/>
          <w:u w:val="single"/>
        </w:rPr>
      </w:pP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 xml:space="preserve">                 项目编号：</w:t>
      </w:r>
      <w:r>
        <w:rPr>
          <w:rFonts w:hint="eastAsia" w:ascii="宋体" w:hAnsi="宋体"/>
          <w:b/>
          <w:sz w:val="24"/>
          <w:szCs w:val="24"/>
        </w:rPr>
        <w:t xml:space="preserve"> </w:t>
      </w:r>
      <w:r>
        <w:rPr>
          <w:rFonts w:hint="eastAsia" w:ascii="宋体" w:hAnsi="宋体"/>
          <w:sz w:val="24"/>
          <w:szCs w:val="24"/>
          <w:u w:val="single"/>
        </w:rPr>
        <w:t xml:space="preserve">                   </w:t>
      </w:r>
    </w:p>
    <w:p>
      <w:pPr>
        <w:spacing w:line="360" w:lineRule="auto"/>
        <w:rPr>
          <w:rFonts w:ascii="宋体" w:hAnsi="宋体"/>
          <w:sz w:val="24"/>
          <w:szCs w:val="24"/>
        </w:rPr>
      </w:pP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3204"/>
        <w:gridCol w:w="1417"/>
        <w:gridCol w:w="180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供应商名称</w:t>
            </w:r>
          </w:p>
        </w:tc>
        <w:tc>
          <w:tcPr>
            <w:tcW w:w="3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报价总价（人民币/元）</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磋商保证金（有/无）</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cs="Arial"/>
                <w:sz w:val="24"/>
                <w:szCs w:val="24"/>
              </w:rPr>
              <w:t>交货期</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32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大写金额：</w:t>
            </w:r>
          </w:p>
          <w:p>
            <w:pPr>
              <w:spacing w:line="360" w:lineRule="auto"/>
              <w:rPr>
                <w:rFonts w:ascii="宋体" w:hAnsi="宋体"/>
                <w:sz w:val="24"/>
                <w:szCs w:val="24"/>
                <w:u w:val="single"/>
              </w:rPr>
            </w:pPr>
            <w:r>
              <w:rPr>
                <w:rFonts w:hint="eastAsia" w:ascii="宋体" w:hAnsi="宋体"/>
                <w:sz w:val="24"/>
                <w:szCs w:val="24"/>
              </w:rPr>
              <w:t>小写金额：</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r>
    </w:tbl>
    <w:p>
      <w:pPr>
        <w:spacing w:line="360" w:lineRule="auto"/>
        <w:rPr>
          <w:rFonts w:ascii="宋体" w:hAnsi="宋体"/>
          <w:sz w:val="24"/>
          <w:szCs w:val="24"/>
        </w:rPr>
      </w:pP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供应商代表签字： _____________</w:t>
      </w: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供应商名称（盖章）：</w:t>
      </w:r>
      <w:r>
        <w:rPr>
          <w:rFonts w:hint="eastAsia" w:ascii="宋体" w:hAnsi="宋体"/>
          <w:sz w:val="24"/>
          <w:szCs w:val="24"/>
          <w:u w:val="single"/>
        </w:rPr>
        <w:t xml:space="preserve">               </w:t>
      </w: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p>
    <w:p>
      <w:pPr>
        <w:autoSpaceDE w:val="0"/>
        <w:autoSpaceDN w:val="0"/>
        <w:spacing w:line="360" w:lineRule="auto"/>
        <w:ind w:right="-136"/>
        <w:textAlignment w:val="bottom"/>
        <w:rPr>
          <w:rFonts w:ascii="宋体" w:hAnsi="宋体"/>
          <w:sz w:val="24"/>
          <w:szCs w:val="24"/>
        </w:rPr>
      </w:pP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注：</w:t>
      </w: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1、报价总价应和分项报价表总价一致；</w:t>
      </w:r>
    </w:p>
    <w:p>
      <w:pPr>
        <w:autoSpaceDE w:val="0"/>
        <w:autoSpaceDN w:val="0"/>
        <w:spacing w:line="360" w:lineRule="auto"/>
        <w:ind w:right="-136"/>
        <w:textAlignment w:val="bottom"/>
        <w:rPr>
          <w:rFonts w:ascii="宋体" w:hAnsi="宋体"/>
          <w:sz w:val="24"/>
          <w:szCs w:val="24"/>
        </w:rPr>
      </w:pPr>
      <w:r>
        <w:rPr>
          <w:rFonts w:ascii="宋体" w:hAnsi="宋体"/>
          <w:sz w:val="24"/>
          <w:szCs w:val="24"/>
        </w:rPr>
        <w:t>2</w:t>
      </w:r>
      <w:r>
        <w:rPr>
          <w:rFonts w:hint="eastAsia" w:ascii="宋体" w:hAnsi="宋体"/>
          <w:sz w:val="24"/>
          <w:szCs w:val="24"/>
        </w:rPr>
        <w:t>、此表需另单独密封提交一份。</w:t>
      </w:r>
    </w:p>
    <w:p>
      <w:pPr>
        <w:autoSpaceDE w:val="0"/>
        <w:autoSpaceDN w:val="0"/>
        <w:spacing w:line="360" w:lineRule="auto"/>
        <w:ind w:right="-136"/>
        <w:textAlignment w:val="bottom"/>
        <w:rPr>
          <w:rFonts w:ascii="宋体" w:hAnsi="宋体"/>
          <w:sz w:val="24"/>
          <w:szCs w:val="24"/>
        </w:rPr>
      </w:pPr>
    </w:p>
    <w:p>
      <w:pPr>
        <w:autoSpaceDE w:val="0"/>
        <w:autoSpaceDN w:val="0"/>
        <w:spacing w:line="360" w:lineRule="auto"/>
        <w:ind w:right="-136"/>
        <w:textAlignment w:val="bottom"/>
        <w:rPr>
          <w:rFonts w:ascii="宋体" w:hAnsi="宋体"/>
          <w:sz w:val="24"/>
          <w:szCs w:val="24"/>
        </w:rPr>
      </w:pPr>
    </w:p>
    <w:p>
      <w:pPr>
        <w:autoSpaceDE w:val="0"/>
        <w:autoSpaceDN w:val="0"/>
        <w:spacing w:line="360" w:lineRule="auto"/>
        <w:ind w:right="-136"/>
        <w:textAlignment w:val="bottom"/>
        <w:rPr>
          <w:rFonts w:ascii="宋体" w:hAnsi="宋体"/>
          <w:sz w:val="24"/>
          <w:szCs w:val="24"/>
        </w:rPr>
      </w:pPr>
    </w:p>
    <w:p>
      <w:pPr>
        <w:autoSpaceDE w:val="0"/>
        <w:autoSpaceDN w:val="0"/>
        <w:spacing w:line="360" w:lineRule="auto"/>
        <w:ind w:right="-136"/>
        <w:textAlignment w:val="bottom"/>
        <w:rPr>
          <w:rFonts w:ascii="宋体" w:hAnsi="宋体"/>
          <w:sz w:val="24"/>
          <w:szCs w:val="24"/>
        </w:rPr>
      </w:pPr>
    </w:p>
    <w:p>
      <w:pPr>
        <w:pStyle w:val="4"/>
        <w:rPr>
          <w:rFonts w:ascii="宋体" w:hAnsi="宋体"/>
        </w:rPr>
      </w:pPr>
      <w:bookmarkStart w:id="109" w:name="_Toc335064343"/>
      <w:r>
        <w:rPr>
          <w:rFonts w:ascii="宋体" w:hAnsi="宋体"/>
        </w:rPr>
        <w:br w:type="page"/>
      </w:r>
      <w:bookmarkStart w:id="110" w:name="_Toc146043912"/>
      <w:r>
        <w:rPr>
          <w:rFonts w:hint="eastAsia" w:ascii="宋体" w:hAnsi="宋体"/>
        </w:rPr>
        <w:t>3.分项报价表格式</w:t>
      </w:r>
      <w:bookmarkEnd w:id="109"/>
      <w:bookmarkEnd w:id="110"/>
      <w:r>
        <w:rPr>
          <w:rFonts w:hint="eastAsia" w:ascii="宋体" w:hAnsi="宋体"/>
        </w:rPr>
        <w:t xml:space="preserve"> </w:t>
      </w:r>
    </w:p>
    <w:p>
      <w:pPr>
        <w:spacing w:line="360" w:lineRule="auto"/>
        <w:rPr>
          <w:rFonts w:ascii="宋体" w:hAnsi="宋体"/>
          <w:sz w:val="24"/>
          <w:szCs w:val="24"/>
          <w:u w:val="single"/>
        </w:rPr>
      </w:pP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 xml:space="preserve"> 项目编号：</w:t>
      </w:r>
      <w:r>
        <w:rPr>
          <w:rFonts w:hint="eastAsia" w:ascii="宋体" w:hAnsi="宋体"/>
          <w:b/>
          <w:sz w:val="24"/>
          <w:szCs w:val="24"/>
        </w:rPr>
        <w:t xml:space="preserve"> </w:t>
      </w:r>
      <w:r>
        <w:rPr>
          <w:rFonts w:hint="eastAsia" w:ascii="宋体" w:hAnsi="宋体"/>
          <w:sz w:val="24"/>
          <w:szCs w:val="24"/>
          <w:u w:val="single"/>
        </w:rPr>
        <w:t xml:space="preserve">                        </w:t>
      </w:r>
    </w:p>
    <w:tbl>
      <w:tblPr>
        <w:tblStyle w:val="48"/>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964"/>
        <w:gridCol w:w="1539"/>
        <w:gridCol w:w="1721"/>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vAlign w:val="center"/>
          </w:tcPr>
          <w:p>
            <w:pPr>
              <w:pStyle w:val="23"/>
              <w:spacing w:before="156"/>
              <w:jc w:val="center"/>
              <w:rPr>
                <w:rFonts w:hAnsi="宋体" w:cs="等线"/>
                <w:sz w:val="24"/>
                <w:szCs w:val="24"/>
              </w:rPr>
            </w:pPr>
            <w:r>
              <w:rPr>
                <w:rFonts w:hint="eastAsia" w:hAnsi="宋体" w:cs="等线"/>
                <w:sz w:val="24"/>
                <w:szCs w:val="24"/>
              </w:rPr>
              <w:t>序号</w:t>
            </w:r>
          </w:p>
        </w:tc>
        <w:tc>
          <w:tcPr>
            <w:tcW w:w="964" w:type="dxa"/>
            <w:tcBorders>
              <w:top w:val="single" w:color="auto" w:sz="4" w:space="0"/>
              <w:left w:val="single" w:color="auto" w:sz="4" w:space="0"/>
              <w:bottom w:val="single" w:color="auto" w:sz="4" w:space="0"/>
              <w:right w:val="single" w:color="auto" w:sz="4" w:space="0"/>
            </w:tcBorders>
            <w:vAlign w:val="center"/>
          </w:tcPr>
          <w:p>
            <w:pPr>
              <w:pStyle w:val="23"/>
              <w:spacing w:before="156"/>
              <w:jc w:val="center"/>
              <w:rPr>
                <w:rFonts w:hAnsi="宋体" w:cs="等线"/>
                <w:sz w:val="24"/>
                <w:szCs w:val="24"/>
              </w:rPr>
            </w:pPr>
            <w:r>
              <w:rPr>
                <w:rFonts w:hint="eastAsia" w:hAnsi="宋体" w:cs="等线"/>
                <w:sz w:val="24"/>
                <w:szCs w:val="24"/>
              </w:rPr>
              <w:t>名称</w:t>
            </w:r>
          </w:p>
        </w:tc>
        <w:tc>
          <w:tcPr>
            <w:tcW w:w="1539" w:type="dxa"/>
            <w:tcBorders>
              <w:top w:val="single" w:color="auto" w:sz="4" w:space="0"/>
              <w:left w:val="single" w:color="auto" w:sz="4" w:space="0"/>
              <w:bottom w:val="single" w:color="auto" w:sz="4" w:space="0"/>
              <w:right w:val="single" w:color="auto" w:sz="4" w:space="0"/>
            </w:tcBorders>
            <w:vAlign w:val="center"/>
          </w:tcPr>
          <w:p>
            <w:pPr>
              <w:pStyle w:val="23"/>
              <w:spacing w:before="156"/>
              <w:jc w:val="center"/>
              <w:rPr>
                <w:rFonts w:hAnsi="宋体" w:cs="等线"/>
                <w:sz w:val="24"/>
                <w:szCs w:val="24"/>
              </w:rPr>
            </w:pPr>
            <w:r>
              <w:rPr>
                <w:rFonts w:hint="eastAsia" w:hAnsi="宋体" w:cs="等线"/>
                <w:sz w:val="24"/>
                <w:szCs w:val="24"/>
              </w:rPr>
              <w:t>简要描述</w:t>
            </w:r>
          </w:p>
        </w:tc>
        <w:tc>
          <w:tcPr>
            <w:tcW w:w="1721" w:type="dxa"/>
            <w:tcBorders>
              <w:top w:val="single" w:color="auto" w:sz="4" w:space="0"/>
              <w:left w:val="single" w:color="auto" w:sz="4" w:space="0"/>
              <w:bottom w:val="single" w:color="auto" w:sz="4" w:space="0"/>
              <w:right w:val="single" w:color="auto" w:sz="4" w:space="0"/>
            </w:tcBorders>
            <w:vAlign w:val="center"/>
          </w:tcPr>
          <w:p>
            <w:pPr>
              <w:pStyle w:val="23"/>
              <w:spacing w:before="156"/>
              <w:jc w:val="center"/>
              <w:rPr>
                <w:rFonts w:hAnsi="宋体" w:cs="等线"/>
                <w:sz w:val="24"/>
                <w:szCs w:val="24"/>
              </w:rPr>
            </w:pPr>
            <w:r>
              <w:rPr>
                <w:rFonts w:hint="eastAsia" w:hAnsi="宋体" w:cs="等线"/>
                <w:sz w:val="24"/>
                <w:szCs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spacing w:before="156"/>
              <w:jc w:val="center"/>
              <w:rPr>
                <w:rFonts w:hAnsi="宋体" w:cs="等线"/>
                <w:sz w:val="24"/>
                <w:szCs w:val="24"/>
              </w:rPr>
            </w:pPr>
            <w:r>
              <w:rPr>
                <w:rFonts w:hint="eastAsia" w:hAnsi="宋体" w:cs="等线"/>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spacing w:before="156"/>
              <w:jc w:val="center"/>
              <w:rPr>
                <w:rFonts w:hAnsi="宋体" w:cs="等线"/>
                <w:sz w:val="24"/>
                <w:szCs w:val="24"/>
              </w:rPr>
            </w:pPr>
            <w:r>
              <w:rPr>
                <w:rFonts w:hint="eastAsia" w:hAnsi="宋体" w:cs="等线"/>
                <w:sz w:val="24"/>
                <w:szCs w:val="24"/>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spacing w:before="156"/>
              <w:jc w:val="center"/>
              <w:rPr>
                <w:rFonts w:hAnsi="宋体" w:cs="等线"/>
                <w:sz w:val="24"/>
                <w:szCs w:val="24"/>
              </w:rPr>
            </w:pPr>
            <w:r>
              <w:rPr>
                <w:rFonts w:hint="eastAsia" w:hAnsi="宋体" w:cs="等线"/>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tcPr>
          <w:p>
            <w:pPr>
              <w:pStyle w:val="23"/>
              <w:ind w:firstLine="480"/>
              <w:jc w:val="center"/>
              <w:rPr>
                <w:rFonts w:hAnsi="宋体" w:cs="等线"/>
                <w:sz w:val="24"/>
                <w:szCs w:val="24"/>
              </w:rPr>
            </w:pPr>
          </w:p>
        </w:tc>
        <w:tc>
          <w:tcPr>
            <w:tcW w:w="96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539"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721"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13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13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tcPr>
          <w:p>
            <w:pPr>
              <w:pStyle w:val="23"/>
              <w:ind w:firstLine="480"/>
              <w:jc w:val="center"/>
              <w:rPr>
                <w:rFonts w:hAnsi="宋体" w:cs="等线"/>
                <w:sz w:val="24"/>
                <w:szCs w:val="24"/>
              </w:rPr>
            </w:pPr>
          </w:p>
        </w:tc>
        <w:tc>
          <w:tcPr>
            <w:tcW w:w="96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539"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721"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13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13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tcPr>
          <w:p>
            <w:pPr>
              <w:pStyle w:val="23"/>
              <w:ind w:firstLine="480"/>
              <w:jc w:val="center"/>
              <w:rPr>
                <w:rFonts w:hAnsi="宋体" w:cs="等线"/>
                <w:sz w:val="24"/>
                <w:szCs w:val="24"/>
              </w:rPr>
            </w:pPr>
          </w:p>
        </w:tc>
        <w:tc>
          <w:tcPr>
            <w:tcW w:w="96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539"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721"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13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13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tcPr>
          <w:p>
            <w:pPr>
              <w:pStyle w:val="23"/>
              <w:ind w:firstLine="480"/>
              <w:jc w:val="center"/>
              <w:rPr>
                <w:rFonts w:hAnsi="宋体" w:cs="等线"/>
                <w:sz w:val="24"/>
                <w:szCs w:val="24"/>
              </w:rPr>
            </w:pPr>
          </w:p>
        </w:tc>
        <w:tc>
          <w:tcPr>
            <w:tcW w:w="96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539"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721"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13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13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tcPr>
          <w:p>
            <w:pPr>
              <w:pStyle w:val="23"/>
              <w:ind w:firstLine="480"/>
              <w:jc w:val="center"/>
              <w:rPr>
                <w:rFonts w:hAnsi="宋体" w:cs="等线"/>
                <w:sz w:val="24"/>
                <w:szCs w:val="24"/>
              </w:rPr>
            </w:pPr>
          </w:p>
        </w:tc>
        <w:tc>
          <w:tcPr>
            <w:tcW w:w="96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539"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721"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13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13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tcPr>
          <w:p>
            <w:pPr>
              <w:pStyle w:val="23"/>
              <w:ind w:firstLine="480"/>
              <w:jc w:val="center"/>
              <w:rPr>
                <w:rFonts w:hAnsi="宋体" w:cs="等线"/>
                <w:sz w:val="24"/>
                <w:szCs w:val="24"/>
              </w:rPr>
            </w:pPr>
          </w:p>
        </w:tc>
        <w:tc>
          <w:tcPr>
            <w:tcW w:w="96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539"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721"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13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c>
          <w:tcPr>
            <w:tcW w:w="1134" w:type="dxa"/>
            <w:tcBorders>
              <w:top w:val="single" w:color="auto" w:sz="4" w:space="0"/>
              <w:left w:val="single" w:color="auto" w:sz="4" w:space="0"/>
              <w:bottom w:val="single" w:color="auto" w:sz="4" w:space="0"/>
              <w:right w:val="single" w:color="auto" w:sz="4" w:space="0"/>
            </w:tcBorders>
          </w:tcPr>
          <w:p>
            <w:pPr>
              <w:pStyle w:val="23"/>
              <w:ind w:firstLine="480"/>
              <w:rPr>
                <w:rFonts w:hAnsi="宋体" w:cs="等线"/>
                <w:sz w:val="24"/>
                <w:szCs w:val="24"/>
              </w:rPr>
            </w:pPr>
          </w:p>
        </w:tc>
      </w:tr>
    </w:tbl>
    <w:p>
      <w:pPr>
        <w:autoSpaceDE w:val="0"/>
        <w:autoSpaceDN w:val="0"/>
        <w:spacing w:line="360" w:lineRule="auto"/>
        <w:ind w:right="-136"/>
        <w:textAlignment w:val="bottom"/>
        <w:rPr>
          <w:rFonts w:ascii="宋体" w:hAnsi="宋体"/>
          <w:sz w:val="24"/>
          <w:szCs w:val="24"/>
        </w:rPr>
      </w:pP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供应商代表签字： _____________</w:t>
      </w: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供应商名称（盖章）：</w:t>
      </w:r>
      <w:r>
        <w:rPr>
          <w:rFonts w:hint="eastAsia" w:ascii="宋体" w:hAnsi="宋体"/>
          <w:sz w:val="24"/>
          <w:szCs w:val="24"/>
          <w:u w:val="single"/>
        </w:rPr>
        <w:t xml:space="preserve">               </w:t>
      </w: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p>
    <w:p>
      <w:pPr>
        <w:pStyle w:val="23"/>
        <w:rPr>
          <w:rFonts w:hAnsi="宋体"/>
          <w:sz w:val="24"/>
        </w:rPr>
      </w:pPr>
      <w:r>
        <w:rPr>
          <w:rFonts w:hint="eastAsia" w:hAnsi="宋体"/>
          <w:sz w:val="24"/>
        </w:rPr>
        <w:t>注:1.如果不提供分项报价将视为没有实质性响应磋商文件。上述各项的详细分项报价，可另页描述。</w:t>
      </w:r>
    </w:p>
    <w:p>
      <w:pPr>
        <w:pStyle w:val="23"/>
        <w:spacing w:line="360" w:lineRule="auto"/>
        <w:rPr>
          <w:rFonts w:hAnsi="宋体"/>
          <w:sz w:val="24"/>
          <w:szCs w:val="24"/>
        </w:rPr>
      </w:pPr>
      <w:r>
        <w:rPr>
          <w:rFonts w:hint="eastAsia" w:hAnsi="宋体"/>
          <w:sz w:val="24"/>
        </w:rPr>
        <w:t xml:space="preserve">   </w:t>
      </w:r>
      <w:r>
        <w:rPr>
          <w:rFonts w:hAnsi="宋体"/>
          <w:sz w:val="24"/>
        </w:rPr>
        <w:t>2</w:t>
      </w:r>
      <w:r>
        <w:rPr>
          <w:rFonts w:hint="eastAsia" w:hAnsi="宋体"/>
          <w:sz w:val="24"/>
        </w:rPr>
        <w:t>.</w:t>
      </w:r>
      <w:r>
        <w:rPr>
          <w:rFonts w:hint="eastAsia" w:hAnsi="宋体"/>
          <w:sz w:val="24"/>
          <w:szCs w:val="24"/>
        </w:rPr>
        <w:t xml:space="preserve"> 如果单价与总价不符时，以单价为准。</w:t>
      </w:r>
    </w:p>
    <w:p>
      <w:pPr>
        <w:tabs>
          <w:tab w:val="left" w:pos="8600"/>
        </w:tabs>
        <w:autoSpaceDE w:val="0"/>
        <w:autoSpaceDN w:val="0"/>
        <w:spacing w:line="360" w:lineRule="auto"/>
        <w:ind w:right="3"/>
        <w:textAlignment w:val="bottom"/>
        <w:rPr>
          <w:rFonts w:ascii="宋体" w:hAnsi="宋体"/>
          <w:sz w:val="24"/>
          <w:szCs w:val="24"/>
        </w:rPr>
      </w:pPr>
    </w:p>
    <w:p>
      <w:pPr>
        <w:tabs>
          <w:tab w:val="left" w:pos="8600"/>
        </w:tabs>
        <w:autoSpaceDE w:val="0"/>
        <w:autoSpaceDN w:val="0"/>
        <w:spacing w:line="360" w:lineRule="auto"/>
        <w:ind w:right="3"/>
        <w:textAlignment w:val="bottom"/>
        <w:rPr>
          <w:rFonts w:ascii="宋体" w:hAnsi="宋体"/>
          <w:sz w:val="24"/>
          <w:szCs w:val="24"/>
        </w:rPr>
      </w:pPr>
    </w:p>
    <w:p>
      <w:pPr>
        <w:tabs>
          <w:tab w:val="left" w:pos="8600"/>
        </w:tabs>
        <w:autoSpaceDE w:val="0"/>
        <w:autoSpaceDN w:val="0"/>
        <w:spacing w:line="360" w:lineRule="auto"/>
        <w:ind w:right="3"/>
        <w:textAlignment w:val="bottom"/>
        <w:rPr>
          <w:rFonts w:ascii="宋体" w:hAnsi="宋体"/>
          <w:sz w:val="24"/>
          <w:szCs w:val="24"/>
        </w:rPr>
      </w:pPr>
    </w:p>
    <w:p>
      <w:pPr>
        <w:tabs>
          <w:tab w:val="left" w:pos="8600"/>
        </w:tabs>
        <w:autoSpaceDE w:val="0"/>
        <w:autoSpaceDN w:val="0"/>
        <w:spacing w:line="360" w:lineRule="auto"/>
        <w:ind w:right="3"/>
        <w:textAlignment w:val="bottom"/>
        <w:rPr>
          <w:rFonts w:ascii="宋体" w:hAnsi="宋体"/>
          <w:sz w:val="24"/>
          <w:szCs w:val="24"/>
        </w:rPr>
      </w:pPr>
      <w:r>
        <w:rPr>
          <w:rFonts w:ascii="宋体" w:hAnsi="宋体"/>
          <w:sz w:val="24"/>
          <w:szCs w:val="24"/>
        </w:rPr>
        <w:br w:type="page"/>
      </w:r>
    </w:p>
    <w:p>
      <w:pPr>
        <w:pStyle w:val="3"/>
      </w:pPr>
      <w:bookmarkStart w:id="111" w:name="_Toc146043913"/>
      <w:r>
        <w:rPr>
          <w:rFonts w:hint="eastAsia"/>
        </w:rPr>
        <w:t>二、商务部分</w:t>
      </w:r>
      <w:bookmarkEnd w:id="111"/>
    </w:p>
    <w:p>
      <w:pPr>
        <w:pStyle w:val="4"/>
        <w:rPr>
          <w:rFonts w:ascii="宋体" w:hAnsi="宋体"/>
        </w:rPr>
      </w:pPr>
      <w:bookmarkStart w:id="112" w:name="_Toc146043914"/>
      <w:r>
        <w:rPr>
          <w:rFonts w:hint="eastAsia" w:ascii="宋体" w:hAnsi="宋体"/>
        </w:rPr>
        <w:t>1.资格证明文件及格式</w:t>
      </w:r>
      <w:bookmarkEnd w:id="112"/>
      <w:r>
        <w:rPr>
          <w:rFonts w:hint="eastAsia" w:ascii="宋体" w:hAnsi="宋体"/>
        </w:rPr>
        <w:t xml:space="preserve"> </w:t>
      </w:r>
    </w:p>
    <w:p>
      <w:pPr>
        <w:spacing w:line="360" w:lineRule="auto"/>
        <w:rPr>
          <w:rFonts w:ascii="宋体" w:hAnsi="宋体"/>
          <w:sz w:val="24"/>
        </w:rPr>
      </w:pPr>
      <w:r>
        <w:rPr>
          <w:rFonts w:hint="eastAsia" w:ascii="宋体" w:hAnsi="宋体"/>
          <w:b/>
          <w:sz w:val="24"/>
          <w:szCs w:val="24"/>
        </w:rPr>
        <w:t>1-1</w:t>
      </w:r>
      <w:r>
        <w:rPr>
          <w:rFonts w:hint="eastAsia" w:ascii="宋体" w:hAnsi="宋体"/>
          <w:sz w:val="24"/>
        </w:rPr>
        <w:t>三证合一的营业执照或事业单位法人证书副本复印件（复印件须加盖公章）；供应商是自然人的，应提供其有效的自然人身份证明复印件；</w:t>
      </w:r>
    </w:p>
    <w:p>
      <w:pPr>
        <w:pStyle w:val="63"/>
        <w:ind w:firstLine="0" w:firstLineChars="0"/>
        <w:rPr>
          <w:rFonts w:ascii="宋体" w:hAnsi="宋体"/>
        </w:rPr>
      </w:pPr>
      <w:r>
        <w:rPr>
          <w:rFonts w:hint="eastAsia" w:ascii="宋体" w:hAnsi="宋体"/>
          <w:sz w:val="24"/>
        </w:rPr>
        <w:t>注：事业单位提供《事业单位法人证书》、民办非企业单位提供《民办非企业登记证书》副本的复印件（须加盖本单位公章）。</w:t>
      </w:r>
    </w:p>
    <w:p>
      <w:pPr>
        <w:tabs>
          <w:tab w:val="left" w:pos="8640"/>
        </w:tabs>
        <w:spacing w:line="360" w:lineRule="auto"/>
        <w:ind w:right="281" w:rightChars="134"/>
        <w:rPr>
          <w:rFonts w:ascii="宋体" w:hAnsi="宋体"/>
          <w:sz w:val="24"/>
          <w:szCs w:val="24"/>
        </w:rPr>
      </w:pPr>
      <w:r>
        <w:rPr>
          <w:rFonts w:ascii="宋体" w:hAnsi="宋体"/>
          <w:sz w:val="24"/>
          <w:szCs w:val="24"/>
        </w:rPr>
        <w:br w:type="page"/>
      </w:r>
      <w:r>
        <w:rPr>
          <w:rFonts w:hint="eastAsia" w:ascii="宋体" w:hAnsi="宋体"/>
          <w:sz w:val="24"/>
          <w:szCs w:val="24"/>
        </w:rPr>
        <w:t xml:space="preserve">1-2法人代表授权书 </w:t>
      </w:r>
    </w:p>
    <w:p>
      <w:pPr>
        <w:spacing w:line="360" w:lineRule="auto"/>
        <w:jc w:val="center"/>
        <w:rPr>
          <w:b/>
          <w:bCs/>
          <w:sz w:val="30"/>
          <w:szCs w:val="30"/>
        </w:rPr>
      </w:pPr>
      <w:r>
        <w:rPr>
          <w:b/>
          <w:bCs/>
          <w:sz w:val="30"/>
          <w:szCs w:val="30"/>
        </w:rPr>
        <w:t>法定代表人身份证明书（格式）</w:t>
      </w:r>
    </w:p>
    <w:p>
      <w:pPr>
        <w:spacing w:line="360" w:lineRule="auto"/>
        <w:ind w:firstLine="630" w:firstLineChars="300"/>
        <w:jc w:val="center"/>
      </w:pPr>
      <w:r>
        <w:rPr>
          <w:rFonts w:hint="eastAsia"/>
        </w:rPr>
        <w:t>（参与磋商及响应文件的签字人为法定代表人时，须提供该证明书）</w:t>
      </w:r>
    </w:p>
    <w:p>
      <w:pPr>
        <w:spacing w:line="360" w:lineRule="auto"/>
        <w:ind w:firstLine="720" w:firstLineChars="300"/>
        <w:rPr>
          <w:rFonts w:ascii="宋体" w:hAnsi="宋体"/>
          <w:sz w:val="24"/>
          <w:szCs w:val="24"/>
        </w:rPr>
      </w:pPr>
      <w:r>
        <w:rPr>
          <w:rFonts w:hint="eastAsia" w:ascii="宋体" w:hAnsi="宋体"/>
          <w:sz w:val="24"/>
          <w:szCs w:val="24"/>
        </w:rPr>
        <w:t>本文件声明：注册于</w:t>
      </w:r>
      <w:r>
        <w:rPr>
          <w:rFonts w:hint="eastAsia" w:ascii="宋体" w:hAnsi="宋体"/>
          <w:i/>
          <w:sz w:val="24"/>
          <w:szCs w:val="24"/>
          <w:u w:val="single"/>
        </w:rPr>
        <w:t>（国家或地区的名称）</w:t>
      </w:r>
      <w:r>
        <w:rPr>
          <w:rFonts w:hint="eastAsia" w:ascii="宋体" w:hAnsi="宋体"/>
          <w:sz w:val="24"/>
          <w:szCs w:val="24"/>
        </w:rPr>
        <w:t>的</w:t>
      </w:r>
      <w:r>
        <w:rPr>
          <w:rFonts w:hint="eastAsia" w:ascii="宋体" w:hAnsi="宋体"/>
          <w:i/>
          <w:sz w:val="24"/>
          <w:szCs w:val="24"/>
          <w:u w:val="single"/>
        </w:rPr>
        <w:t>（公司名称）</w:t>
      </w:r>
      <w:r>
        <w:rPr>
          <w:rFonts w:hint="eastAsia" w:ascii="宋体" w:hAnsi="宋体"/>
          <w:sz w:val="24"/>
          <w:szCs w:val="24"/>
        </w:rPr>
        <w:t>郑重声明在下面签字的（</w:t>
      </w:r>
      <w:r>
        <w:rPr>
          <w:rFonts w:hint="eastAsia" w:ascii="宋体" w:hAnsi="宋体"/>
          <w:i/>
          <w:sz w:val="24"/>
          <w:szCs w:val="24"/>
          <w:u w:val="single"/>
        </w:rPr>
        <w:t>法定代表人姓名、职务</w:t>
      </w:r>
      <w:r>
        <w:rPr>
          <w:rFonts w:hint="eastAsia" w:ascii="宋体" w:hAnsi="宋体"/>
          <w:sz w:val="24"/>
          <w:szCs w:val="24"/>
        </w:rPr>
        <w:t>）身份证号：为本公司的法定代表人，就</w:t>
      </w:r>
      <w:r>
        <w:rPr>
          <w:rFonts w:hint="eastAsia" w:ascii="宋体" w:hAnsi="宋体"/>
          <w:i/>
          <w:sz w:val="24"/>
          <w:szCs w:val="24"/>
          <w:u w:val="single"/>
        </w:rPr>
        <w:t>（项目名称）</w:t>
      </w:r>
      <w:r>
        <w:rPr>
          <w:rFonts w:hint="eastAsia" w:ascii="宋体" w:hAnsi="宋体"/>
          <w:sz w:val="24"/>
          <w:szCs w:val="24"/>
        </w:rPr>
        <w:t>磋商，以本公司名义处理一切与之有关的事务。　　</w:t>
      </w:r>
    </w:p>
    <w:p>
      <w:pPr>
        <w:tabs>
          <w:tab w:val="left" w:pos="5580"/>
        </w:tabs>
        <w:spacing w:line="360" w:lineRule="auto"/>
        <w:ind w:firstLine="480"/>
        <w:rPr>
          <w:rFonts w:ascii="宋体" w:hAnsi="宋体"/>
          <w:sz w:val="24"/>
          <w:szCs w:val="24"/>
        </w:rPr>
      </w:pPr>
    </w:p>
    <w:p>
      <w:pPr>
        <w:tabs>
          <w:tab w:val="left" w:pos="5580"/>
        </w:tabs>
        <w:spacing w:line="360" w:lineRule="auto"/>
        <w:ind w:firstLine="480"/>
        <w:rPr>
          <w:rFonts w:ascii="宋体" w:hAnsi="宋体"/>
          <w:sz w:val="24"/>
          <w:szCs w:val="24"/>
        </w:rPr>
      </w:pPr>
      <w:r>
        <w:rPr>
          <w:rFonts w:hint="eastAsia" w:ascii="宋体" w:hAnsi="宋体"/>
          <w:sz w:val="24"/>
          <w:szCs w:val="24"/>
        </w:rPr>
        <w:t>特此声明。</w:t>
      </w:r>
    </w:p>
    <w:p>
      <w:pPr>
        <w:tabs>
          <w:tab w:val="left" w:pos="2943"/>
        </w:tabs>
        <w:spacing w:line="360" w:lineRule="auto"/>
        <w:rPr>
          <w:rFonts w:ascii="宋体" w:hAnsi="宋体" w:cs="Courier New"/>
          <w:sz w:val="24"/>
          <w:szCs w:val="24"/>
        </w:rPr>
      </w:pPr>
    </w:p>
    <w:p>
      <w:pPr>
        <w:tabs>
          <w:tab w:val="left" w:pos="2943"/>
        </w:tabs>
        <w:spacing w:line="360" w:lineRule="auto"/>
        <w:rPr>
          <w:rFonts w:ascii="宋体" w:hAnsi="宋体" w:cs="Courier New"/>
          <w:sz w:val="24"/>
          <w:szCs w:val="24"/>
          <w:u w:val="single"/>
        </w:rPr>
      </w:pPr>
      <w:r>
        <w:rPr>
          <w:rFonts w:hint="eastAsia" w:ascii="宋体" w:hAnsi="宋体" w:cs="Courier New"/>
          <w:sz w:val="24"/>
          <w:szCs w:val="24"/>
        </w:rPr>
        <w:t>供应商名称</w:t>
      </w:r>
      <w:r>
        <w:rPr>
          <w:rFonts w:ascii="宋体" w:hAnsi="宋体" w:cs="Courier New"/>
          <w:sz w:val="24"/>
          <w:szCs w:val="24"/>
        </w:rPr>
        <w:t>(盖章)：</w:t>
      </w:r>
    </w:p>
    <w:p>
      <w:pPr>
        <w:tabs>
          <w:tab w:val="left" w:pos="5580"/>
        </w:tabs>
        <w:spacing w:line="360" w:lineRule="auto"/>
        <w:ind w:firstLine="480"/>
        <w:rPr>
          <w:rFonts w:ascii="宋体" w:hAnsi="宋体"/>
          <w:sz w:val="24"/>
          <w:szCs w:val="24"/>
        </w:rPr>
      </w:pPr>
    </w:p>
    <w:p>
      <w:pPr>
        <w:tabs>
          <w:tab w:val="left" w:pos="2943"/>
        </w:tabs>
        <w:spacing w:line="360" w:lineRule="auto"/>
        <w:rPr>
          <w:rFonts w:ascii="宋体" w:hAnsi="宋体" w:cs="Courier New"/>
          <w:sz w:val="24"/>
          <w:szCs w:val="24"/>
          <w:u w:val="single"/>
        </w:rPr>
      </w:pPr>
      <w:r>
        <w:rPr>
          <w:rFonts w:hint="eastAsia" w:ascii="宋体" w:hAnsi="宋体" w:cs="Courier New"/>
          <w:sz w:val="24"/>
          <w:szCs w:val="24"/>
        </w:rPr>
        <w:t>法定代表人签字：</w:t>
      </w:r>
    </w:p>
    <w:p>
      <w:pPr>
        <w:tabs>
          <w:tab w:val="left" w:pos="3227"/>
        </w:tabs>
        <w:spacing w:line="360" w:lineRule="auto"/>
        <w:rPr>
          <w:rFonts w:ascii="宋体" w:hAnsi="宋体" w:cs="Courier New"/>
          <w:sz w:val="24"/>
          <w:szCs w:val="24"/>
          <w:u w:val="single"/>
        </w:rPr>
      </w:pPr>
    </w:p>
    <w:p>
      <w:pPr>
        <w:autoSpaceDE w:val="0"/>
        <w:autoSpaceDN w:val="0"/>
        <w:adjustRightInd w:val="0"/>
        <w:snapToGrid w:val="0"/>
        <w:spacing w:line="360" w:lineRule="auto"/>
        <w:rPr>
          <w:rFonts w:ascii="宋体" w:hAnsi="宋体"/>
          <w:sz w:val="24"/>
          <w:szCs w:val="24"/>
          <w:lang w:val="zh-CN"/>
        </w:rPr>
      </w:pPr>
      <w:r>
        <w:rPr>
          <w:rFonts w:ascii="宋体" w:hAnsi="宋体"/>
          <w:sz w:val="24"/>
          <w:szCs w:val="24"/>
        </w:rPr>
        <w:t>日期：_____年______月______日</w:t>
      </w:r>
    </w:p>
    <w:p>
      <w:pPr>
        <w:tabs>
          <w:tab w:val="left" w:pos="5580"/>
        </w:tabs>
        <w:spacing w:line="360" w:lineRule="auto"/>
        <w:rPr>
          <w:rFonts w:ascii="宋体" w:hAnsi="宋体"/>
          <w:sz w:val="24"/>
          <w:szCs w:val="24"/>
        </w:rPr>
      </w:pPr>
    </w:p>
    <w:p>
      <w:pPr>
        <w:pStyle w:val="18"/>
        <w:kinsoku w:val="0"/>
        <w:overflowPunct w:val="0"/>
        <w:ind w:right="-46"/>
        <w:rPr>
          <w:rFonts w:ascii="宋体" w:hAnsi="宋体"/>
          <w:spacing w:val="-3"/>
          <w:sz w:val="24"/>
          <w:szCs w:val="24"/>
        </w:rPr>
      </w:pPr>
      <w:r>
        <w:rPr>
          <w:rFonts w:ascii="宋体" w:hAnsi="宋体"/>
          <w:sz w:val="24"/>
          <w:szCs w:val="24"/>
        </w:rPr>
        <w:t>附：</w:t>
      </w:r>
      <w:r>
        <w:rPr>
          <w:rFonts w:ascii="宋体" w:hAnsi="宋体"/>
          <w:spacing w:val="-3"/>
          <w:sz w:val="24"/>
          <w:szCs w:val="24"/>
        </w:rPr>
        <w:t>法</w:t>
      </w:r>
      <w:r>
        <w:rPr>
          <w:rFonts w:ascii="宋体" w:hAnsi="宋体"/>
          <w:sz w:val="24"/>
          <w:szCs w:val="24"/>
        </w:rPr>
        <w:t>定</w:t>
      </w:r>
      <w:r>
        <w:rPr>
          <w:rFonts w:ascii="宋体" w:hAnsi="宋体"/>
          <w:spacing w:val="-3"/>
          <w:sz w:val="24"/>
          <w:szCs w:val="24"/>
        </w:rPr>
        <w:t>代</w:t>
      </w:r>
      <w:r>
        <w:rPr>
          <w:rFonts w:ascii="宋体" w:hAnsi="宋体"/>
          <w:sz w:val="24"/>
          <w:szCs w:val="24"/>
        </w:rPr>
        <w:t>表</w:t>
      </w:r>
      <w:r>
        <w:rPr>
          <w:rFonts w:ascii="宋体" w:hAnsi="宋体"/>
          <w:spacing w:val="-3"/>
          <w:sz w:val="24"/>
          <w:szCs w:val="24"/>
        </w:rPr>
        <w:t>人</w:t>
      </w:r>
      <w:r>
        <w:rPr>
          <w:rFonts w:ascii="宋体" w:hAnsi="宋体"/>
          <w:sz w:val="24"/>
          <w:szCs w:val="24"/>
        </w:rPr>
        <w:t>（</w:t>
      </w:r>
      <w:r>
        <w:rPr>
          <w:rFonts w:ascii="宋体" w:hAnsi="宋体"/>
          <w:spacing w:val="-3"/>
          <w:sz w:val="24"/>
          <w:szCs w:val="24"/>
        </w:rPr>
        <w:t>单</w:t>
      </w:r>
      <w:r>
        <w:rPr>
          <w:rFonts w:ascii="宋体" w:hAnsi="宋体"/>
          <w:sz w:val="24"/>
          <w:szCs w:val="24"/>
        </w:rPr>
        <w:t>位</w:t>
      </w:r>
      <w:r>
        <w:rPr>
          <w:rFonts w:ascii="宋体" w:hAnsi="宋体"/>
          <w:spacing w:val="-3"/>
          <w:sz w:val="24"/>
          <w:szCs w:val="24"/>
        </w:rPr>
        <w:t>负</w:t>
      </w:r>
      <w:r>
        <w:rPr>
          <w:rFonts w:ascii="宋体" w:hAnsi="宋体"/>
          <w:sz w:val="24"/>
          <w:szCs w:val="24"/>
        </w:rPr>
        <w:t>责人</w:t>
      </w:r>
      <w:r>
        <w:rPr>
          <w:rFonts w:ascii="宋体" w:hAnsi="宋体"/>
          <w:spacing w:val="-3"/>
          <w:sz w:val="24"/>
          <w:szCs w:val="24"/>
        </w:rPr>
        <w:t>）有效期内的身</w:t>
      </w:r>
      <w:r>
        <w:rPr>
          <w:rFonts w:hint="eastAsia" w:ascii="宋体" w:hAnsi="宋体"/>
          <w:spacing w:val="-3"/>
          <w:sz w:val="24"/>
          <w:szCs w:val="24"/>
        </w:rPr>
        <w:t>份</w:t>
      </w:r>
      <w:r>
        <w:rPr>
          <w:rFonts w:ascii="宋体" w:hAnsi="宋体"/>
          <w:spacing w:val="-3"/>
          <w:sz w:val="24"/>
          <w:szCs w:val="24"/>
        </w:rPr>
        <w:t>证正反面</w:t>
      </w:r>
      <w:r>
        <w:rPr>
          <w:rFonts w:hint="eastAsia" w:ascii="宋体" w:hAnsi="宋体"/>
          <w:spacing w:val="-3"/>
          <w:sz w:val="24"/>
          <w:szCs w:val="24"/>
        </w:rPr>
        <w:t>复印件。</w:t>
      </w:r>
    </w:p>
    <w:tbl>
      <w:tblPr>
        <w:tblStyle w:val="48"/>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7" w:hRule="atLeast"/>
        </w:trPr>
        <w:tc>
          <w:tcPr>
            <w:tcW w:w="4673" w:type="dxa"/>
          </w:tcPr>
          <w:p>
            <w:pPr>
              <w:tabs>
                <w:tab w:val="left" w:pos="5580"/>
              </w:tabs>
              <w:spacing w:line="360" w:lineRule="auto"/>
            </w:pPr>
          </w:p>
          <w:p>
            <w:pPr>
              <w:tabs>
                <w:tab w:val="left" w:pos="5580"/>
              </w:tabs>
              <w:spacing w:line="360" w:lineRule="auto"/>
            </w:pPr>
          </w:p>
          <w:p>
            <w:pPr>
              <w:tabs>
                <w:tab w:val="left" w:pos="5580"/>
              </w:tabs>
              <w:spacing w:line="360" w:lineRule="auto"/>
            </w:pPr>
          </w:p>
        </w:tc>
        <w:tc>
          <w:tcPr>
            <w:tcW w:w="4536" w:type="dxa"/>
          </w:tcPr>
          <w:p>
            <w:pPr>
              <w:tabs>
                <w:tab w:val="left" w:pos="5580"/>
              </w:tabs>
              <w:spacing w:line="360" w:lineRule="auto"/>
            </w:pPr>
          </w:p>
          <w:p>
            <w:pPr>
              <w:tabs>
                <w:tab w:val="left" w:pos="5580"/>
              </w:tabs>
              <w:spacing w:line="360" w:lineRule="auto"/>
            </w:pPr>
          </w:p>
          <w:p>
            <w:pPr>
              <w:tabs>
                <w:tab w:val="left" w:pos="5580"/>
              </w:tabs>
              <w:spacing w:line="360" w:lineRule="auto"/>
            </w:pPr>
          </w:p>
        </w:tc>
      </w:tr>
    </w:tbl>
    <w:p>
      <w:pPr>
        <w:tabs>
          <w:tab w:val="left" w:pos="5580"/>
        </w:tabs>
        <w:spacing w:line="360" w:lineRule="auto"/>
        <w:rPr>
          <w:u w:val="single"/>
        </w:rPr>
      </w:pPr>
    </w:p>
    <w:p>
      <w:pPr>
        <w:widowControl/>
        <w:jc w:val="left"/>
      </w:pPr>
      <w:r>
        <w:br w:type="page"/>
      </w:r>
    </w:p>
    <w:p>
      <w:pPr>
        <w:pStyle w:val="18"/>
      </w:pPr>
    </w:p>
    <w:p>
      <w:pPr>
        <w:spacing w:line="360" w:lineRule="auto"/>
        <w:jc w:val="center"/>
        <w:rPr>
          <w:b/>
          <w:bCs/>
          <w:sz w:val="30"/>
          <w:szCs w:val="30"/>
        </w:rPr>
      </w:pPr>
      <w:r>
        <w:rPr>
          <w:rFonts w:hint="eastAsia"/>
          <w:b/>
          <w:bCs/>
          <w:sz w:val="30"/>
          <w:szCs w:val="30"/>
        </w:rPr>
        <w:t>法定代表人授权书（格式）</w:t>
      </w:r>
    </w:p>
    <w:p>
      <w:pPr>
        <w:spacing w:line="360" w:lineRule="auto"/>
        <w:jc w:val="center"/>
        <w:rPr>
          <w:u w:val="single"/>
        </w:rPr>
      </w:pPr>
      <w:r>
        <w:rPr>
          <w:rFonts w:hint="eastAsia"/>
        </w:rPr>
        <w:t>（参与磋商及响应文件的签字人非法定代表人时，必须提供该授权）</w:t>
      </w:r>
    </w:p>
    <w:p>
      <w:pPr>
        <w:spacing w:line="360" w:lineRule="auto"/>
        <w:ind w:firstLine="420"/>
        <w:rPr>
          <w:rFonts w:ascii="宋体" w:hAnsi="宋体"/>
          <w:sz w:val="24"/>
          <w:szCs w:val="24"/>
        </w:rPr>
      </w:pPr>
      <w:r>
        <w:rPr>
          <w:rFonts w:hint="eastAsia" w:ascii="宋体" w:hAnsi="宋体"/>
          <w:sz w:val="24"/>
          <w:szCs w:val="24"/>
        </w:rPr>
        <w:t>本人</w:t>
      </w:r>
      <w:r>
        <w:rPr>
          <w:rFonts w:ascii="宋体" w:hAnsi="宋体"/>
          <w:sz w:val="24"/>
          <w:szCs w:val="24"/>
          <w:lang w:val="zh-CN"/>
        </w:rPr>
        <w:t>_______</w:t>
      </w:r>
      <w:r>
        <w:rPr>
          <w:rFonts w:ascii="宋体" w:hAnsi="宋体"/>
          <w:sz w:val="24"/>
          <w:szCs w:val="24"/>
        </w:rPr>
        <w:t>（</w:t>
      </w:r>
      <w:r>
        <w:rPr>
          <w:rFonts w:hint="eastAsia" w:ascii="宋体" w:hAnsi="宋体"/>
          <w:sz w:val="24"/>
          <w:szCs w:val="24"/>
        </w:rPr>
        <w:t>姓名</w:t>
      </w:r>
      <w:r>
        <w:rPr>
          <w:rFonts w:ascii="宋体" w:hAnsi="宋体"/>
          <w:sz w:val="24"/>
          <w:szCs w:val="24"/>
        </w:rPr>
        <w:t>）</w:t>
      </w:r>
      <w:r>
        <w:rPr>
          <w:rFonts w:hint="eastAsia" w:ascii="宋体" w:hAnsi="宋体"/>
          <w:sz w:val="24"/>
          <w:szCs w:val="24"/>
        </w:rPr>
        <w:t>系</w:t>
      </w:r>
      <w:r>
        <w:rPr>
          <w:rFonts w:ascii="宋体" w:hAnsi="宋体"/>
          <w:sz w:val="24"/>
          <w:szCs w:val="24"/>
          <w:lang w:val="zh-CN"/>
        </w:rPr>
        <w:t>________________</w:t>
      </w:r>
      <w:r>
        <w:rPr>
          <w:rFonts w:ascii="宋体" w:hAnsi="宋体"/>
          <w:sz w:val="24"/>
          <w:szCs w:val="24"/>
        </w:rPr>
        <w:t>（</w:t>
      </w:r>
      <w:r>
        <w:rPr>
          <w:rFonts w:hint="eastAsia" w:ascii="宋体" w:hAnsi="宋体"/>
          <w:sz w:val="24"/>
          <w:szCs w:val="24"/>
        </w:rPr>
        <w:t>供应商</w:t>
      </w:r>
      <w:r>
        <w:rPr>
          <w:rFonts w:ascii="宋体" w:hAnsi="宋体"/>
          <w:sz w:val="24"/>
          <w:szCs w:val="24"/>
        </w:rPr>
        <w:t>名称）</w:t>
      </w:r>
      <w:r>
        <w:rPr>
          <w:rFonts w:hint="eastAsia" w:ascii="宋体" w:hAnsi="宋体"/>
          <w:sz w:val="24"/>
          <w:szCs w:val="24"/>
        </w:rPr>
        <w:t>的</w:t>
      </w:r>
      <w:r>
        <w:rPr>
          <w:rFonts w:ascii="宋体" w:hAnsi="宋体"/>
          <w:sz w:val="24"/>
          <w:szCs w:val="24"/>
        </w:rPr>
        <w:t>法定代表人（</w:t>
      </w:r>
      <w:r>
        <w:rPr>
          <w:rFonts w:hint="eastAsia" w:ascii="宋体" w:hAnsi="宋体"/>
          <w:sz w:val="24"/>
          <w:szCs w:val="24"/>
        </w:rPr>
        <w:t>单位</w:t>
      </w:r>
      <w:r>
        <w:rPr>
          <w:rFonts w:ascii="宋体" w:hAnsi="宋体"/>
          <w:sz w:val="24"/>
          <w:szCs w:val="24"/>
        </w:rPr>
        <w:t>负责人）</w:t>
      </w:r>
      <w:r>
        <w:rPr>
          <w:rFonts w:hint="eastAsia" w:ascii="宋体" w:hAnsi="宋体"/>
          <w:sz w:val="24"/>
          <w:szCs w:val="24"/>
        </w:rPr>
        <w:t>，</w:t>
      </w:r>
      <w:r>
        <w:rPr>
          <w:rFonts w:ascii="宋体" w:hAnsi="宋体"/>
          <w:sz w:val="24"/>
          <w:szCs w:val="24"/>
        </w:rPr>
        <w:t>现委托</w:t>
      </w:r>
      <w:r>
        <w:rPr>
          <w:rFonts w:ascii="宋体" w:hAnsi="宋体"/>
          <w:sz w:val="24"/>
          <w:szCs w:val="24"/>
          <w:lang w:val="zh-CN"/>
        </w:rPr>
        <w:t>_______</w:t>
      </w:r>
      <w:r>
        <w:rPr>
          <w:rFonts w:ascii="宋体" w:hAnsi="宋体"/>
          <w:sz w:val="24"/>
          <w:szCs w:val="24"/>
        </w:rPr>
        <w:t>（</w:t>
      </w:r>
      <w:r>
        <w:rPr>
          <w:rFonts w:hint="eastAsia" w:ascii="宋体" w:hAnsi="宋体"/>
          <w:sz w:val="24"/>
          <w:szCs w:val="24"/>
        </w:rPr>
        <w:t>姓名</w:t>
      </w:r>
      <w:r>
        <w:rPr>
          <w:rFonts w:ascii="宋体" w:hAnsi="宋体"/>
          <w:sz w:val="24"/>
          <w:szCs w:val="24"/>
        </w:rPr>
        <w:t>）</w:t>
      </w:r>
      <w:r>
        <w:rPr>
          <w:rFonts w:hint="eastAsia" w:ascii="宋体" w:hAnsi="宋体"/>
          <w:sz w:val="24"/>
          <w:szCs w:val="24"/>
        </w:rPr>
        <w:t>为</w:t>
      </w:r>
      <w:r>
        <w:rPr>
          <w:rFonts w:ascii="宋体" w:hAnsi="宋体"/>
          <w:sz w:val="24"/>
          <w:szCs w:val="24"/>
        </w:rPr>
        <w:t>我方代理人。</w:t>
      </w:r>
      <w:r>
        <w:rPr>
          <w:rFonts w:hint="eastAsia" w:ascii="宋体" w:hAnsi="宋体"/>
          <w:sz w:val="24"/>
          <w:szCs w:val="24"/>
        </w:rPr>
        <w:t>代理人根据</w:t>
      </w:r>
      <w:r>
        <w:rPr>
          <w:rFonts w:ascii="宋体" w:hAnsi="宋体"/>
          <w:sz w:val="24"/>
          <w:szCs w:val="24"/>
        </w:rPr>
        <w:t>授权，以我方名义签署、澄清确认、递交、撤回、修改</w:t>
      </w:r>
      <w:r>
        <w:rPr>
          <w:rFonts w:ascii="宋体" w:hAnsi="宋体"/>
          <w:sz w:val="24"/>
          <w:szCs w:val="24"/>
          <w:lang w:val="zh-CN"/>
        </w:rPr>
        <w:t>________________</w:t>
      </w:r>
      <w:r>
        <w:rPr>
          <w:rFonts w:ascii="宋体" w:hAnsi="宋体"/>
          <w:sz w:val="24"/>
          <w:szCs w:val="24"/>
        </w:rPr>
        <w:t>（</w:t>
      </w:r>
      <w:r>
        <w:rPr>
          <w:rFonts w:hint="eastAsia" w:ascii="宋体" w:hAnsi="宋体"/>
          <w:sz w:val="24"/>
          <w:szCs w:val="24"/>
        </w:rPr>
        <w:t>项目</w:t>
      </w:r>
      <w:r>
        <w:rPr>
          <w:rFonts w:ascii="宋体" w:hAnsi="宋体"/>
          <w:sz w:val="24"/>
          <w:szCs w:val="24"/>
        </w:rPr>
        <w:t>名称）</w:t>
      </w:r>
      <w:r>
        <w:rPr>
          <w:rFonts w:hint="eastAsia" w:ascii="宋体" w:hAnsi="宋体"/>
          <w:sz w:val="24"/>
          <w:szCs w:val="24"/>
        </w:rPr>
        <w:t>响应</w:t>
      </w:r>
      <w:r>
        <w:rPr>
          <w:rFonts w:ascii="宋体" w:hAnsi="宋体"/>
          <w:sz w:val="24"/>
          <w:szCs w:val="24"/>
        </w:rPr>
        <w:t>文件</w:t>
      </w:r>
      <w:r>
        <w:rPr>
          <w:rFonts w:hint="eastAsia" w:ascii="宋体" w:hAnsi="宋体"/>
          <w:sz w:val="24"/>
          <w:szCs w:val="24"/>
        </w:rPr>
        <w:t>和</w:t>
      </w:r>
      <w:r>
        <w:rPr>
          <w:rFonts w:ascii="宋体" w:hAnsi="宋体"/>
          <w:sz w:val="24"/>
          <w:szCs w:val="24"/>
        </w:rPr>
        <w:t>处理有关事宜，其法律后果由我方承担。</w:t>
      </w:r>
    </w:p>
    <w:p>
      <w:pPr>
        <w:spacing w:line="360" w:lineRule="auto"/>
        <w:ind w:firstLine="420"/>
        <w:rPr>
          <w:rFonts w:ascii="宋体" w:hAnsi="宋体"/>
          <w:sz w:val="24"/>
          <w:szCs w:val="24"/>
        </w:rPr>
      </w:pPr>
      <w:r>
        <w:rPr>
          <w:rFonts w:hint="eastAsia" w:ascii="宋体" w:hAnsi="宋体"/>
          <w:sz w:val="24"/>
          <w:szCs w:val="24"/>
        </w:rPr>
        <w:t>委托</w:t>
      </w:r>
      <w:r>
        <w:rPr>
          <w:rFonts w:ascii="宋体" w:hAnsi="宋体"/>
          <w:sz w:val="24"/>
          <w:szCs w:val="24"/>
        </w:rPr>
        <w:t>期限：自本</w:t>
      </w:r>
      <w:r>
        <w:rPr>
          <w:rFonts w:hint="eastAsia" w:ascii="宋体" w:hAnsi="宋体"/>
          <w:sz w:val="24"/>
          <w:szCs w:val="24"/>
        </w:rPr>
        <w:t>授权</w:t>
      </w:r>
      <w:r>
        <w:rPr>
          <w:rFonts w:ascii="宋体" w:hAnsi="宋体"/>
          <w:sz w:val="24"/>
          <w:szCs w:val="24"/>
        </w:rPr>
        <w:t>委托书签署之日起至</w:t>
      </w:r>
      <w:r>
        <w:rPr>
          <w:rFonts w:hint="eastAsia" w:ascii="宋体" w:hAnsi="宋体"/>
          <w:sz w:val="24"/>
          <w:szCs w:val="24"/>
        </w:rPr>
        <w:t>响应</w:t>
      </w:r>
      <w:r>
        <w:rPr>
          <w:rFonts w:ascii="宋体" w:hAnsi="宋体"/>
          <w:sz w:val="24"/>
          <w:szCs w:val="24"/>
        </w:rPr>
        <w:t>有效期</w:t>
      </w:r>
      <w:r>
        <w:rPr>
          <w:rFonts w:hint="eastAsia" w:ascii="宋体" w:hAnsi="宋体"/>
          <w:sz w:val="24"/>
          <w:szCs w:val="24"/>
        </w:rPr>
        <w:t>届满</w:t>
      </w:r>
      <w:r>
        <w:rPr>
          <w:rFonts w:ascii="宋体" w:hAnsi="宋体"/>
          <w:sz w:val="24"/>
          <w:szCs w:val="24"/>
        </w:rPr>
        <w:t>之日止。</w:t>
      </w:r>
    </w:p>
    <w:p>
      <w:pPr>
        <w:pStyle w:val="23"/>
        <w:tabs>
          <w:tab w:val="left" w:pos="2943"/>
        </w:tabs>
        <w:spacing w:line="360" w:lineRule="auto"/>
        <w:ind w:left="707" w:leftChars="194" w:hanging="300"/>
        <w:rPr>
          <w:rFonts w:hAnsi="宋体"/>
          <w:sz w:val="24"/>
          <w:szCs w:val="24"/>
        </w:rPr>
      </w:pPr>
      <w:r>
        <w:rPr>
          <w:rFonts w:hint="eastAsia" w:hAnsi="宋体"/>
          <w:sz w:val="24"/>
          <w:szCs w:val="24"/>
        </w:rPr>
        <w:t>代理人</w:t>
      </w:r>
      <w:r>
        <w:rPr>
          <w:rFonts w:hAnsi="宋体"/>
          <w:sz w:val="24"/>
          <w:szCs w:val="24"/>
        </w:rPr>
        <w:t>无转委托权。</w:t>
      </w:r>
    </w:p>
    <w:p>
      <w:pPr>
        <w:pStyle w:val="23"/>
        <w:tabs>
          <w:tab w:val="left" w:pos="2943"/>
        </w:tabs>
        <w:spacing w:line="360" w:lineRule="auto"/>
        <w:ind w:left="1134" w:leftChars="397" w:hanging="300"/>
        <w:rPr>
          <w:rFonts w:hAnsi="宋体" w:cs="Courier New"/>
          <w:sz w:val="24"/>
          <w:szCs w:val="24"/>
          <w:u w:val="single"/>
        </w:rPr>
      </w:pPr>
      <w:r>
        <w:rPr>
          <w:rFonts w:hAnsi="宋体"/>
          <w:sz w:val="24"/>
          <w:szCs w:val="24"/>
        </w:rPr>
        <w:cr/>
      </w:r>
      <w:r>
        <w:rPr>
          <w:rFonts w:hint="eastAsia" w:hAnsi="宋体"/>
          <w:sz w:val="24"/>
          <w:szCs w:val="24"/>
        </w:rPr>
        <w:t>供应商</w:t>
      </w:r>
      <w:r>
        <w:rPr>
          <w:rFonts w:hint="eastAsia" w:hAnsi="宋体" w:cs="Courier New"/>
          <w:sz w:val="24"/>
          <w:szCs w:val="24"/>
        </w:rPr>
        <w:t>名称(盖章)：</w:t>
      </w:r>
    </w:p>
    <w:p>
      <w:pPr>
        <w:pStyle w:val="23"/>
        <w:tabs>
          <w:tab w:val="left" w:pos="2943"/>
        </w:tabs>
        <w:spacing w:line="360" w:lineRule="auto"/>
        <w:ind w:left="960" w:firstLine="210"/>
        <w:rPr>
          <w:rFonts w:hAnsi="宋体" w:cs="Courier New"/>
          <w:sz w:val="24"/>
          <w:szCs w:val="24"/>
          <w:u w:val="single"/>
        </w:rPr>
      </w:pPr>
      <w:r>
        <w:rPr>
          <w:rFonts w:hint="eastAsia" w:hAnsi="宋体" w:cs="Courier New"/>
          <w:sz w:val="24"/>
          <w:szCs w:val="24"/>
        </w:rPr>
        <w:t>法定代表人签字或盖章：</w:t>
      </w:r>
    </w:p>
    <w:p>
      <w:pPr>
        <w:pStyle w:val="23"/>
        <w:tabs>
          <w:tab w:val="left" w:pos="3227"/>
        </w:tabs>
        <w:spacing w:line="360" w:lineRule="auto"/>
        <w:ind w:left="960" w:firstLine="210"/>
        <w:rPr>
          <w:rFonts w:hAnsi="宋体" w:cs="Courier New"/>
          <w:sz w:val="24"/>
          <w:szCs w:val="24"/>
          <w:u w:val="single"/>
        </w:rPr>
      </w:pPr>
      <w:r>
        <w:rPr>
          <w:rFonts w:hint="eastAsia" w:hAnsi="宋体" w:cs="Courier New"/>
          <w:sz w:val="24"/>
          <w:szCs w:val="24"/>
        </w:rPr>
        <w:t>法人授权代表签字：</w:t>
      </w:r>
    </w:p>
    <w:p>
      <w:pPr>
        <w:autoSpaceDE w:val="0"/>
        <w:autoSpaceDN w:val="0"/>
        <w:adjustRightInd w:val="0"/>
        <w:snapToGrid w:val="0"/>
        <w:spacing w:line="360" w:lineRule="auto"/>
        <w:ind w:left="743" w:leftChars="354"/>
        <w:rPr>
          <w:rFonts w:ascii="宋体" w:hAnsi="宋体"/>
          <w:sz w:val="24"/>
          <w:szCs w:val="24"/>
          <w:lang w:val="zh-CN"/>
        </w:rPr>
      </w:pPr>
      <w:r>
        <w:rPr>
          <w:rFonts w:ascii="宋体" w:hAnsi="宋体"/>
          <w:sz w:val="24"/>
          <w:szCs w:val="24"/>
        </w:rPr>
        <w:t>日期：_____年______月______日</w:t>
      </w:r>
    </w:p>
    <w:p>
      <w:pPr>
        <w:tabs>
          <w:tab w:val="left" w:pos="5580"/>
        </w:tabs>
        <w:spacing w:line="360" w:lineRule="auto"/>
        <w:rPr>
          <w:rFonts w:ascii="宋体" w:hAnsi="宋体"/>
          <w:sz w:val="24"/>
          <w:szCs w:val="24"/>
        </w:rPr>
      </w:pPr>
      <w:r>
        <w:rPr>
          <w:rFonts w:ascii="宋体" w:hAnsi="宋体"/>
          <w:sz w:val="24"/>
          <w:szCs w:val="24"/>
        </w:rPr>
        <w:t>法定代表人（单位负责人）有效期内的身份证</w:t>
      </w:r>
      <w:r>
        <w:rPr>
          <w:rFonts w:ascii="宋体" w:hAnsi="宋体"/>
          <w:b/>
          <w:sz w:val="24"/>
          <w:szCs w:val="24"/>
        </w:rPr>
        <w:t>正反面</w:t>
      </w:r>
      <w:r>
        <w:rPr>
          <w:rFonts w:ascii="宋体" w:hAnsi="宋体"/>
          <w:sz w:val="24"/>
          <w:szCs w:val="24"/>
        </w:rPr>
        <w:t>复印件：</w:t>
      </w:r>
    </w:p>
    <w:tbl>
      <w:tblPr>
        <w:tblStyle w:val="48"/>
        <w:tblW w:w="850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90"/>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390" w:type="dxa"/>
          </w:tcPr>
          <w:p>
            <w:pPr>
              <w:tabs>
                <w:tab w:val="left" w:pos="5580"/>
              </w:tabs>
              <w:spacing w:line="360" w:lineRule="auto"/>
              <w:rPr>
                <w:rFonts w:ascii="宋体" w:hAnsi="宋体"/>
                <w:sz w:val="24"/>
                <w:szCs w:val="24"/>
              </w:rPr>
            </w:pPr>
          </w:p>
          <w:p>
            <w:pPr>
              <w:tabs>
                <w:tab w:val="left" w:pos="5580"/>
              </w:tabs>
              <w:spacing w:line="360" w:lineRule="auto"/>
              <w:rPr>
                <w:rFonts w:ascii="宋体" w:hAnsi="宋体"/>
                <w:sz w:val="24"/>
                <w:szCs w:val="24"/>
              </w:rPr>
            </w:pPr>
          </w:p>
          <w:p>
            <w:pPr>
              <w:tabs>
                <w:tab w:val="left" w:pos="5580"/>
              </w:tabs>
              <w:spacing w:line="360" w:lineRule="auto"/>
              <w:rPr>
                <w:rFonts w:ascii="宋体" w:hAnsi="宋体"/>
                <w:sz w:val="24"/>
                <w:szCs w:val="24"/>
              </w:rPr>
            </w:pPr>
          </w:p>
        </w:tc>
        <w:tc>
          <w:tcPr>
            <w:tcW w:w="4110" w:type="dxa"/>
          </w:tcPr>
          <w:p>
            <w:pPr>
              <w:tabs>
                <w:tab w:val="left" w:pos="5580"/>
              </w:tabs>
              <w:spacing w:line="360" w:lineRule="auto"/>
              <w:rPr>
                <w:rFonts w:ascii="宋体" w:hAnsi="宋体"/>
                <w:sz w:val="24"/>
                <w:szCs w:val="24"/>
              </w:rPr>
            </w:pPr>
          </w:p>
          <w:p>
            <w:pPr>
              <w:tabs>
                <w:tab w:val="left" w:pos="5580"/>
              </w:tabs>
              <w:spacing w:line="360" w:lineRule="auto"/>
              <w:rPr>
                <w:rFonts w:ascii="宋体" w:hAnsi="宋体"/>
                <w:sz w:val="24"/>
                <w:szCs w:val="24"/>
              </w:rPr>
            </w:pPr>
          </w:p>
          <w:p>
            <w:pPr>
              <w:tabs>
                <w:tab w:val="left" w:pos="5580"/>
              </w:tabs>
              <w:spacing w:line="360" w:lineRule="auto"/>
              <w:rPr>
                <w:rFonts w:ascii="宋体" w:hAnsi="宋体"/>
                <w:sz w:val="24"/>
                <w:szCs w:val="24"/>
              </w:rPr>
            </w:pPr>
          </w:p>
        </w:tc>
      </w:tr>
    </w:tbl>
    <w:p>
      <w:pPr>
        <w:tabs>
          <w:tab w:val="left" w:pos="5580"/>
        </w:tabs>
        <w:spacing w:line="360" w:lineRule="auto"/>
        <w:rPr>
          <w:rFonts w:ascii="宋体" w:hAnsi="宋体"/>
          <w:sz w:val="24"/>
          <w:szCs w:val="24"/>
        </w:rPr>
      </w:pPr>
      <w:r>
        <w:rPr>
          <w:rFonts w:hint="eastAsia" w:ascii="宋体" w:hAnsi="宋体"/>
          <w:sz w:val="24"/>
          <w:szCs w:val="24"/>
        </w:rPr>
        <w:t>委托代理人</w:t>
      </w:r>
      <w:r>
        <w:rPr>
          <w:rFonts w:ascii="宋体" w:hAnsi="宋体"/>
          <w:sz w:val="24"/>
          <w:szCs w:val="24"/>
        </w:rPr>
        <w:t>有效期内的身份证</w:t>
      </w:r>
      <w:r>
        <w:rPr>
          <w:rFonts w:ascii="宋体" w:hAnsi="宋体"/>
          <w:b/>
          <w:sz w:val="24"/>
          <w:szCs w:val="24"/>
        </w:rPr>
        <w:t>正反面</w:t>
      </w:r>
      <w:r>
        <w:rPr>
          <w:rFonts w:ascii="宋体" w:hAnsi="宋体"/>
          <w:sz w:val="24"/>
          <w:szCs w:val="24"/>
        </w:rPr>
        <w:t>复印件：</w:t>
      </w:r>
    </w:p>
    <w:tbl>
      <w:tblPr>
        <w:tblStyle w:val="48"/>
        <w:tblW w:w="850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90"/>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390" w:type="dxa"/>
          </w:tcPr>
          <w:p>
            <w:pPr>
              <w:tabs>
                <w:tab w:val="left" w:pos="5580"/>
              </w:tabs>
              <w:spacing w:line="360" w:lineRule="auto"/>
            </w:pPr>
          </w:p>
          <w:p>
            <w:pPr>
              <w:tabs>
                <w:tab w:val="left" w:pos="5580"/>
              </w:tabs>
              <w:spacing w:line="360" w:lineRule="auto"/>
            </w:pPr>
          </w:p>
          <w:p>
            <w:pPr>
              <w:tabs>
                <w:tab w:val="left" w:pos="5580"/>
              </w:tabs>
              <w:spacing w:line="360" w:lineRule="auto"/>
            </w:pPr>
          </w:p>
        </w:tc>
        <w:tc>
          <w:tcPr>
            <w:tcW w:w="4110" w:type="dxa"/>
          </w:tcPr>
          <w:p>
            <w:pPr>
              <w:tabs>
                <w:tab w:val="left" w:pos="5580"/>
              </w:tabs>
              <w:spacing w:line="360" w:lineRule="auto"/>
            </w:pPr>
          </w:p>
          <w:p>
            <w:pPr>
              <w:tabs>
                <w:tab w:val="left" w:pos="5580"/>
              </w:tabs>
              <w:spacing w:line="360" w:lineRule="auto"/>
            </w:pPr>
          </w:p>
          <w:p>
            <w:pPr>
              <w:tabs>
                <w:tab w:val="left" w:pos="5580"/>
              </w:tabs>
              <w:spacing w:line="360" w:lineRule="auto"/>
            </w:pPr>
          </w:p>
        </w:tc>
      </w:tr>
    </w:tbl>
    <w:p>
      <w:pPr>
        <w:tabs>
          <w:tab w:val="left" w:pos="5580"/>
        </w:tabs>
        <w:spacing w:line="360" w:lineRule="auto"/>
      </w:pPr>
      <w:r>
        <w:rPr>
          <w:rFonts w:hint="eastAsia"/>
        </w:rPr>
        <w:t>说明</w:t>
      </w:r>
      <w:r>
        <w:t>：</w:t>
      </w:r>
    </w:p>
    <w:p>
      <w:pPr>
        <w:tabs>
          <w:tab w:val="left" w:pos="5580"/>
        </w:tabs>
        <w:spacing w:line="360" w:lineRule="auto"/>
      </w:pPr>
      <w:r>
        <w:t>1.若供应商为事业单位或其他组织或分支机构（仅当</w:t>
      </w:r>
      <w:r>
        <w:rPr>
          <w:rFonts w:hint="eastAsia"/>
        </w:rPr>
        <w:t>招标</w:t>
      </w:r>
      <w:r>
        <w:t>文件注明允许分支机构</w:t>
      </w:r>
      <w:r>
        <w:rPr>
          <w:rFonts w:hint="eastAsia"/>
        </w:rPr>
        <w:t>投标</w:t>
      </w:r>
      <w:r>
        <w:t>的），则法定代表人（单位负责人）</w:t>
      </w:r>
      <w:r>
        <w:rPr>
          <w:rFonts w:hint="eastAsia"/>
        </w:rPr>
        <w:t>处</w:t>
      </w:r>
      <w:r>
        <w:t>的签署人可为单位负责人</w:t>
      </w:r>
      <w:r>
        <w:rPr>
          <w:rFonts w:hint="eastAsia"/>
        </w:rPr>
        <w:t>。</w:t>
      </w:r>
    </w:p>
    <w:p>
      <w:pPr>
        <w:tabs>
          <w:tab w:val="left" w:pos="5580"/>
        </w:tabs>
        <w:spacing w:line="360" w:lineRule="auto"/>
      </w:pPr>
      <w:r>
        <w:t>2.</w:t>
      </w:r>
      <w:r>
        <w:rPr>
          <w:rFonts w:hint="eastAsia"/>
        </w:rPr>
        <w:t>供应商为自然人的情形，可不提供本</w:t>
      </w:r>
      <w:r>
        <w:t>《</w:t>
      </w:r>
      <w:r>
        <w:rPr>
          <w:rFonts w:hint="eastAsia"/>
        </w:rPr>
        <w:t>授权委托书</w:t>
      </w:r>
      <w:r>
        <w:t>》</w:t>
      </w:r>
      <w:r>
        <w:rPr>
          <w:rFonts w:hint="eastAsia"/>
        </w:rPr>
        <w:t>。</w:t>
      </w:r>
    </w:p>
    <w:p>
      <w:pPr>
        <w:tabs>
          <w:tab w:val="left" w:pos="5580"/>
        </w:tabs>
        <w:spacing w:line="360" w:lineRule="auto"/>
        <w:rPr>
          <w:u w:val="single"/>
        </w:rPr>
      </w:pPr>
    </w:p>
    <w:p>
      <w:pPr>
        <w:widowControl/>
        <w:jc w:val="left"/>
        <w:rPr>
          <w:u w:val="single"/>
        </w:rPr>
      </w:pPr>
      <w:r>
        <w:rPr>
          <w:u w:val="single"/>
        </w:rPr>
        <w:br w:type="page"/>
      </w:r>
    </w:p>
    <w:p>
      <w:pPr>
        <w:tabs>
          <w:tab w:val="left" w:pos="5580"/>
        </w:tabs>
        <w:spacing w:line="360" w:lineRule="auto"/>
        <w:rPr>
          <w:u w:val="single"/>
        </w:rPr>
      </w:pPr>
    </w:p>
    <w:p>
      <w:pPr>
        <w:spacing w:line="360" w:lineRule="auto"/>
        <w:jc w:val="center"/>
        <w:rPr>
          <w:rFonts w:ascii="宋体" w:hAnsi="宋体"/>
          <w:b/>
          <w:sz w:val="24"/>
        </w:rPr>
      </w:pPr>
      <w:r>
        <w:rPr>
          <w:rFonts w:hint="eastAsia" w:ascii="宋体" w:hAnsi="宋体"/>
          <w:sz w:val="24"/>
          <w:szCs w:val="24"/>
        </w:rPr>
        <w:t>1</w:t>
      </w:r>
      <w:r>
        <w:rPr>
          <w:rFonts w:ascii="宋体" w:hAnsi="宋体"/>
          <w:sz w:val="24"/>
          <w:szCs w:val="24"/>
        </w:rPr>
        <w:t>-3</w:t>
      </w:r>
      <w:r>
        <w:rPr>
          <w:rFonts w:ascii="宋体" w:hAnsi="宋体"/>
          <w:b/>
          <w:bCs/>
          <w:sz w:val="24"/>
        </w:rPr>
        <w:t xml:space="preserve"> </w:t>
      </w:r>
      <w:r>
        <w:rPr>
          <w:rFonts w:hint="eastAsia" w:ascii="宋体" w:hAnsi="宋体"/>
          <w:b/>
          <w:bCs/>
          <w:sz w:val="24"/>
        </w:rPr>
        <w:t>供应商</w:t>
      </w:r>
      <w:r>
        <w:rPr>
          <w:rFonts w:hint="eastAsia" w:ascii="宋体" w:hAnsi="宋体"/>
          <w:b/>
          <w:sz w:val="24"/>
        </w:rPr>
        <w:t>声明函</w:t>
      </w:r>
    </w:p>
    <w:p>
      <w:pPr>
        <w:autoSpaceDE w:val="0"/>
        <w:autoSpaceDN w:val="0"/>
        <w:adjustRightInd w:val="0"/>
        <w:spacing w:line="360" w:lineRule="auto"/>
        <w:jc w:val="left"/>
        <w:rPr>
          <w:rFonts w:ascii="宋体" w:hAnsi="宋体"/>
          <w:b/>
          <w:kern w:val="0"/>
          <w:sz w:val="24"/>
        </w:rPr>
      </w:pPr>
      <w:r>
        <w:rPr>
          <w:rFonts w:ascii="宋体" w:hAnsi="宋体"/>
          <w:b/>
          <w:kern w:val="0"/>
          <w:sz w:val="24"/>
        </w:rPr>
        <w:t>致</w:t>
      </w:r>
      <w:r>
        <w:rPr>
          <w:rFonts w:hint="eastAsia" w:ascii="宋体" w:hAnsi="宋体"/>
          <w:b/>
          <w:kern w:val="0"/>
          <w:sz w:val="24"/>
        </w:rPr>
        <w:t>（采购人或采购代理机构）</w:t>
      </w:r>
      <w:r>
        <w:rPr>
          <w:rFonts w:ascii="宋体" w:hAnsi="宋体"/>
          <w:b/>
          <w:kern w:val="0"/>
          <w:sz w:val="24"/>
        </w:rPr>
        <w:t>：</w:t>
      </w:r>
    </w:p>
    <w:p>
      <w:pPr>
        <w:autoSpaceDE w:val="0"/>
        <w:autoSpaceDN w:val="0"/>
        <w:adjustRightInd w:val="0"/>
        <w:spacing w:line="360" w:lineRule="auto"/>
        <w:ind w:firstLine="480"/>
        <w:jc w:val="left"/>
        <w:rPr>
          <w:rFonts w:ascii="宋体" w:hAnsi="宋体"/>
          <w:sz w:val="24"/>
        </w:rPr>
      </w:pPr>
      <w:r>
        <w:rPr>
          <w:rFonts w:hint="eastAsia" w:ascii="宋体" w:hAnsi="宋体"/>
          <w:kern w:val="0"/>
          <w:sz w:val="24"/>
        </w:rPr>
        <w:t>我公司是按照中华人民共和国法律成立的一家法人单位（其他组织或自然人），我公司</w:t>
      </w:r>
      <w:r>
        <w:rPr>
          <w:rFonts w:ascii="宋体" w:hAnsi="宋体"/>
          <w:sz w:val="24"/>
        </w:rPr>
        <w:t>具有独立承担民事责任的能力</w:t>
      </w:r>
      <w:r>
        <w:rPr>
          <w:rFonts w:hint="eastAsia" w:ascii="宋体" w:hAnsi="宋体"/>
          <w:sz w:val="24"/>
        </w:rPr>
        <w:t>，</w:t>
      </w:r>
      <w:r>
        <w:rPr>
          <w:rFonts w:ascii="宋体" w:hAnsi="宋体"/>
          <w:sz w:val="24"/>
        </w:rPr>
        <w:t>具有履行</w:t>
      </w:r>
      <w:r>
        <w:rPr>
          <w:rFonts w:hint="eastAsia" w:ascii="宋体" w:hAnsi="宋体"/>
          <w:sz w:val="24"/>
        </w:rPr>
        <w:t>本次采购</w:t>
      </w:r>
      <w:r>
        <w:rPr>
          <w:rFonts w:ascii="宋体" w:hAnsi="宋体"/>
          <w:sz w:val="24"/>
        </w:rPr>
        <w:t>合同所必需的设备和专业技术能力</w:t>
      </w:r>
      <w:r>
        <w:rPr>
          <w:rFonts w:hint="eastAsia" w:ascii="宋体" w:hAnsi="宋体"/>
          <w:sz w:val="24"/>
        </w:rPr>
        <w:t>，</w:t>
      </w:r>
      <w:r>
        <w:rPr>
          <w:rFonts w:ascii="宋体" w:hAnsi="宋体"/>
          <w:sz w:val="24"/>
        </w:rPr>
        <w:t>具有良好的商业信誉和健全的财务会计制度</w:t>
      </w:r>
      <w:r>
        <w:rPr>
          <w:rFonts w:hint="eastAsia" w:ascii="宋体" w:hAnsi="宋体"/>
          <w:sz w:val="24"/>
        </w:rPr>
        <w:t>，具</w:t>
      </w:r>
      <w:r>
        <w:rPr>
          <w:rFonts w:ascii="宋体" w:hAnsi="宋体"/>
          <w:sz w:val="24"/>
        </w:rPr>
        <w:t>有依法缴纳税收和社会保障资金的良好记录</w:t>
      </w:r>
      <w:r>
        <w:rPr>
          <w:rFonts w:hint="eastAsia" w:ascii="宋体" w:hAnsi="宋体"/>
          <w:sz w:val="24"/>
        </w:rPr>
        <w:t>。</w:t>
      </w:r>
    </w:p>
    <w:p>
      <w:pPr>
        <w:autoSpaceDE w:val="0"/>
        <w:autoSpaceDN w:val="0"/>
        <w:adjustRightInd w:val="0"/>
        <w:spacing w:line="360" w:lineRule="auto"/>
        <w:ind w:firstLine="480"/>
        <w:jc w:val="left"/>
        <w:rPr>
          <w:rFonts w:ascii="宋体" w:hAnsi="宋体"/>
          <w:kern w:val="0"/>
          <w:sz w:val="24"/>
        </w:rPr>
      </w:pPr>
      <w:r>
        <w:rPr>
          <w:rFonts w:hint="eastAsia" w:ascii="宋体" w:hAnsi="宋体"/>
          <w:kern w:val="0"/>
          <w:sz w:val="24"/>
        </w:rPr>
        <w:t>我公司不是为本采购项目的包提供整体设计、规范编制或者项目管理、监理、检测等服务的服务商。</w:t>
      </w:r>
    </w:p>
    <w:p>
      <w:pPr>
        <w:autoSpaceDE w:val="0"/>
        <w:autoSpaceDN w:val="0"/>
        <w:adjustRightInd w:val="0"/>
        <w:spacing w:line="360" w:lineRule="auto"/>
        <w:ind w:firstLine="480"/>
        <w:jc w:val="left"/>
        <w:rPr>
          <w:rFonts w:ascii="宋体" w:hAnsi="宋体"/>
          <w:kern w:val="0"/>
          <w:sz w:val="24"/>
        </w:rPr>
      </w:pPr>
      <w:r>
        <w:rPr>
          <w:rFonts w:hint="eastAsia" w:ascii="宋体" w:hAnsi="宋体"/>
          <w:kern w:val="0"/>
          <w:sz w:val="24"/>
        </w:rPr>
        <w:t>我公司近三年（成立不足三年的将“近三年”改为“自成立之日起至今”）在经</w:t>
      </w:r>
      <w:r>
        <w:rPr>
          <w:rFonts w:hint="eastAsia" w:ascii="宋体" w:hAnsi="宋体"/>
          <w:sz w:val="24"/>
        </w:rPr>
        <w:t>营活动中无重大违法记录（即未因违法经营受到刑事处罚或者责令停产停业、吊销许可证或者执照、较大数额罚款等行政处罚。如果因违法经营被禁止在一定期限内参加政府采购活动，期限已经届满）。</w:t>
      </w:r>
    </w:p>
    <w:p>
      <w:pPr>
        <w:spacing w:line="360" w:lineRule="auto"/>
        <w:ind w:firstLine="480" w:firstLineChars="200"/>
        <w:rPr>
          <w:rFonts w:ascii="宋体" w:hAnsi="宋体"/>
          <w:sz w:val="24"/>
        </w:rPr>
      </w:pPr>
      <w:r>
        <w:rPr>
          <w:rFonts w:hint="eastAsia" w:ascii="宋体" w:hAnsi="宋体"/>
          <w:sz w:val="24"/>
        </w:rPr>
        <w:t>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特此声明。</w:t>
      </w:r>
    </w:p>
    <w:p>
      <w:pPr>
        <w:autoSpaceDE w:val="0"/>
        <w:autoSpaceDN w:val="0"/>
        <w:adjustRightInd w:val="0"/>
        <w:spacing w:line="360" w:lineRule="auto"/>
        <w:ind w:left="567" w:leftChars="270"/>
        <w:jc w:val="left"/>
        <w:rPr>
          <w:rFonts w:ascii="宋体" w:hAnsi="宋体"/>
          <w:kern w:val="0"/>
          <w:sz w:val="28"/>
        </w:rPr>
      </w:pPr>
    </w:p>
    <w:p>
      <w:pPr>
        <w:autoSpaceDE w:val="0"/>
        <w:autoSpaceDN w:val="0"/>
        <w:adjustRightInd w:val="0"/>
        <w:spacing w:line="360" w:lineRule="auto"/>
        <w:ind w:firstLine="1984" w:firstLineChars="827"/>
        <w:jc w:val="center"/>
        <w:rPr>
          <w:rFonts w:ascii="宋体" w:hAnsi="宋体"/>
          <w:kern w:val="0"/>
          <w:sz w:val="24"/>
        </w:rPr>
      </w:pPr>
      <w:r>
        <w:rPr>
          <w:rFonts w:hint="eastAsia" w:ascii="宋体" w:hAnsi="宋体"/>
          <w:kern w:val="0"/>
          <w:sz w:val="24"/>
        </w:rPr>
        <w:t>供应商</w:t>
      </w:r>
      <w:r>
        <w:rPr>
          <w:rFonts w:ascii="宋体" w:hAnsi="宋体"/>
          <w:kern w:val="0"/>
          <w:sz w:val="24"/>
        </w:rPr>
        <w:t>代表签字：</w:t>
      </w:r>
    </w:p>
    <w:p>
      <w:pPr>
        <w:wordWrap w:val="0"/>
        <w:autoSpaceDE w:val="0"/>
        <w:autoSpaceDN w:val="0"/>
        <w:adjustRightInd w:val="0"/>
        <w:spacing w:line="360" w:lineRule="auto"/>
        <w:ind w:firstLine="480" w:firstLineChars="200"/>
        <w:jc w:val="right"/>
        <w:rPr>
          <w:rFonts w:ascii="宋体" w:hAnsi="宋体"/>
          <w:kern w:val="0"/>
          <w:sz w:val="24"/>
        </w:rPr>
      </w:pPr>
      <w:r>
        <w:rPr>
          <w:rFonts w:hint="eastAsia" w:ascii="宋体" w:hAnsi="宋体"/>
          <w:kern w:val="0"/>
          <w:sz w:val="24"/>
        </w:rPr>
        <w:t xml:space="preserve"> 供应商名称（盖章）</w:t>
      </w:r>
      <w:r>
        <w:rPr>
          <w:rFonts w:ascii="宋体" w:hAnsi="宋体"/>
          <w:kern w:val="0"/>
          <w:sz w:val="24"/>
        </w:rPr>
        <w:t xml:space="preserve">：              </w:t>
      </w:r>
    </w:p>
    <w:p>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pPr>
        <w:widowControl/>
        <w:jc w:val="left"/>
        <w:rPr>
          <w:rFonts w:ascii="宋体" w:hAnsi="宋体"/>
          <w:sz w:val="24"/>
        </w:rPr>
      </w:pPr>
      <w:r>
        <w:rPr>
          <w:rFonts w:ascii="宋体" w:hAnsi="宋体"/>
          <w:sz w:val="24"/>
        </w:rPr>
        <w:br w:type="page"/>
      </w:r>
    </w:p>
    <w:p>
      <w:pPr>
        <w:spacing w:line="360" w:lineRule="auto"/>
        <w:rPr>
          <w:rFonts w:ascii="宋体" w:hAnsi="宋体"/>
          <w:sz w:val="24"/>
          <w:szCs w:val="24"/>
        </w:rPr>
      </w:pPr>
      <w:bookmarkStart w:id="113" w:name="_Toc497235056"/>
      <w:bookmarkStart w:id="114" w:name="_Toc514926471"/>
      <w:bookmarkStart w:id="115" w:name="_Toc386123371"/>
      <w:r>
        <w:rPr>
          <w:rFonts w:hint="eastAsia" w:ascii="宋体" w:hAnsi="宋体"/>
          <w:sz w:val="24"/>
          <w:szCs w:val="24"/>
        </w:rPr>
        <w:t>1</w:t>
      </w:r>
      <w:r>
        <w:rPr>
          <w:rFonts w:ascii="宋体" w:hAnsi="宋体"/>
          <w:sz w:val="24"/>
          <w:szCs w:val="24"/>
        </w:rPr>
        <w:t>-4</w:t>
      </w:r>
      <w:r>
        <w:rPr>
          <w:rFonts w:hint="eastAsia" w:ascii="宋体" w:hAnsi="宋体"/>
          <w:sz w:val="24"/>
          <w:szCs w:val="24"/>
        </w:rPr>
        <w:t>供应商认为必要的其他资格证明文件（复印件须加盖供应商公章）</w:t>
      </w:r>
    </w:p>
    <w:p>
      <w:pPr>
        <w:widowControl/>
        <w:jc w:val="left"/>
        <w:rPr>
          <w:rFonts w:ascii="宋体" w:hAnsi="宋体" w:cs="等线"/>
          <w:spacing w:val="6"/>
          <w:sz w:val="24"/>
        </w:rPr>
      </w:pPr>
      <w:r>
        <w:rPr>
          <w:rFonts w:ascii="宋体" w:hAnsi="宋体" w:cs="等线"/>
          <w:spacing w:val="6"/>
          <w:sz w:val="24"/>
        </w:rPr>
        <w:br w:type="page"/>
      </w:r>
    </w:p>
    <w:bookmarkEnd w:id="113"/>
    <w:bookmarkEnd w:id="114"/>
    <w:p>
      <w:pPr>
        <w:pStyle w:val="4"/>
        <w:rPr>
          <w:rFonts w:ascii="宋体" w:hAnsi="宋体"/>
        </w:rPr>
      </w:pPr>
      <w:bookmarkStart w:id="116" w:name="_Toc146043915"/>
      <w:r>
        <w:rPr>
          <w:rFonts w:hint="eastAsia" w:ascii="宋体" w:hAnsi="宋体"/>
        </w:rPr>
        <w:t>2.业绩案例一览表</w:t>
      </w:r>
      <w:bookmarkEnd w:id="115"/>
      <w:bookmarkEnd w:id="116"/>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0"/>
        <w:gridCol w:w="1260"/>
        <w:gridCol w:w="1260"/>
        <w:gridCol w:w="1440"/>
        <w:gridCol w:w="177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pPr>
              <w:spacing w:line="480" w:lineRule="exact"/>
              <w:rPr>
                <w:rFonts w:ascii="宋体" w:hAnsi="宋体"/>
                <w:sz w:val="24"/>
              </w:rPr>
            </w:pPr>
            <w:r>
              <w:rPr>
                <w:rFonts w:hint="eastAsia" w:ascii="宋体" w:hAnsi="宋体"/>
                <w:sz w:val="24"/>
              </w:rPr>
              <w:t>序号</w:t>
            </w:r>
          </w:p>
        </w:tc>
        <w:tc>
          <w:tcPr>
            <w:tcW w:w="1980" w:type="dxa"/>
            <w:vAlign w:val="center"/>
          </w:tcPr>
          <w:p>
            <w:pPr>
              <w:spacing w:line="480" w:lineRule="exact"/>
              <w:rPr>
                <w:rFonts w:ascii="宋体" w:hAnsi="宋体"/>
                <w:sz w:val="24"/>
              </w:rPr>
            </w:pPr>
            <w:r>
              <w:rPr>
                <w:rFonts w:hint="eastAsia" w:ascii="宋体" w:hAnsi="宋体"/>
                <w:sz w:val="24"/>
              </w:rPr>
              <w:t>项目名称</w:t>
            </w:r>
          </w:p>
        </w:tc>
        <w:tc>
          <w:tcPr>
            <w:tcW w:w="1260" w:type="dxa"/>
            <w:vAlign w:val="center"/>
          </w:tcPr>
          <w:p>
            <w:pPr>
              <w:spacing w:line="480" w:lineRule="exact"/>
              <w:rPr>
                <w:rFonts w:ascii="宋体" w:hAnsi="宋体"/>
                <w:sz w:val="24"/>
              </w:rPr>
            </w:pPr>
            <w:r>
              <w:rPr>
                <w:rFonts w:hint="eastAsia" w:ascii="宋体" w:hAnsi="宋体"/>
                <w:sz w:val="24"/>
              </w:rPr>
              <w:t>用户名称</w:t>
            </w:r>
          </w:p>
        </w:tc>
        <w:tc>
          <w:tcPr>
            <w:tcW w:w="1260" w:type="dxa"/>
            <w:vAlign w:val="center"/>
          </w:tcPr>
          <w:p>
            <w:pPr>
              <w:spacing w:line="480" w:lineRule="exact"/>
              <w:rPr>
                <w:rFonts w:ascii="宋体" w:hAnsi="宋体"/>
                <w:sz w:val="24"/>
              </w:rPr>
            </w:pPr>
            <w:r>
              <w:rPr>
                <w:rFonts w:hint="eastAsia" w:ascii="宋体" w:hAnsi="宋体"/>
                <w:sz w:val="24"/>
              </w:rPr>
              <w:t>合同金额</w:t>
            </w:r>
          </w:p>
        </w:tc>
        <w:tc>
          <w:tcPr>
            <w:tcW w:w="1440" w:type="dxa"/>
            <w:vAlign w:val="center"/>
          </w:tcPr>
          <w:p>
            <w:pPr>
              <w:spacing w:line="480" w:lineRule="exact"/>
              <w:rPr>
                <w:rFonts w:ascii="宋体" w:hAnsi="宋体"/>
                <w:sz w:val="24"/>
              </w:rPr>
            </w:pPr>
            <w:r>
              <w:rPr>
                <w:rFonts w:hint="eastAsia" w:ascii="宋体" w:hAnsi="宋体"/>
                <w:sz w:val="24"/>
              </w:rPr>
              <w:t>用户联系人</w:t>
            </w:r>
          </w:p>
        </w:tc>
        <w:tc>
          <w:tcPr>
            <w:tcW w:w="1778" w:type="dxa"/>
            <w:vAlign w:val="center"/>
          </w:tcPr>
          <w:p>
            <w:pPr>
              <w:spacing w:line="480" w:lineRule="exact"/>
              <w:rPr>
                <w:rFonts w:ascii="宋体" w:hAnsi="宋体"/>
                <w:sz w:val="24"/>
              </w:rPr>
            </w:pPr>
            <w:r>
              <w:rPr>
                <w:rFonts w:hint="eastAsia" w:ascii="宋体" w:hAnsi="宋体"/>
                <w:sz w:val="24"/>
              </w:rPr>
              <w:t>用户联系电话</w:t>
            </w:r>
          </w:p>
        </w:tc>
        <w:tc>
          <w:tcPr>
            <w:tcW w:w="720" w:type="dxa"/>
            <w:vAlign w:val="center"/>
          </w:tcPr>
          <w:p>
            <w:pPr>
              <w:spacing w:line="480" w:lineRule="exact"/>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pPr>
              <w:spacing w:line="480" w:lineRule="exact"/>
              <w:jc w:val="center"/>
              <w:rPr>
                <w:rFonts w:ascii="宋体" w:hAnsi="宋体"/>
                <w:sz w:val="24"/>
              </w:rPr>
            </w:pPr>
          </w:p>
        </w:tc>
        <w:tc>
          <w:tcPr>
            <w:tcW w:w="198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440" w:type="dxa"/>
            <w:vAlign w:val="center"/>
          </w:tcPr>
          <w:p>
            <w:pPr>
              <w:spacing w:line="480" w:lineRule="exact"/>
              <w:rPr>
                <w:rFonts w:ascii="宋体" w:hAnsi="宋体"/>
                <w:sz w:val="24"/>
              </w:rPr>
            </w:pPr>
          </w:p>
        </w:tc>
        <w:tc>
          <w:tcPr>
            <w:tcW w:w="1778" w:type="dxa"/>
            <w:vAlign w:val="center"/>
          </w:tcPr>
          <w:p>
            <w:pPr>
              <w:spacing w:line="480" w:lineRule="exact"/>
              <w:rPr>
                <w:rFonts w:ascii="宋体" w:hAnsi="宋体"/>
                <w:sz w:val="24"/>
              </w:rPr>
            </w:pPr>
          </w:p>
        </w:tc>
        <w:tc>
          <w:tcPr>
            <w:tcW w:w="720" w:type="dxa"/>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pPr>
              <w:spacing w:line="480" w:lineRule="exact"/>
              <w:jc w:val="center"/>
              <w:rPr>
                <w:rFonts w:ascii="宋体" w:hAnsi="宋体"/>
                <w:sz w:val="24"/>
              </w:rPr>
            </w:pPr>
          </w:p>
        </w:tc>
        <w:tc>
          <w:tcPr>
            <w:tcW w:w="198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440" w:type="dxa"/>
            <w:vAlign w:val="center"/>
          </w:tcPr>
          <w:p>
            <w:pPr>
              <w:spacing w:line="480" w:lineRule="exact"/>
              <w:rPr>
                <w:rFonts w:ascii="宋体" w:hAnsi="宋体"/>
                <w:sz w:val="24"/>
              </w:rPr>
            </w:pPr>
          </w:p>
        </w:tc>
        <w:tc>
          <w:tcPr>
            <w:tcW w:w="1778" w:type="dxa"/>
            <w:vAlign w:val="center"/>
          </w:tcPr>
          <w:p>
            <w:pPr>
              <w:spacing w:line="480" w:lineRule="exact"/>
              <w:rPr>
                <w:rFonts w:ascii="宋体" w:hAnsi="宋体"/>
                <w:sz w:val="24"/>
              </w:rPr>
            </w:pPr>
          </w:p>
        </w:tc>
        <w:tc>
          <w:tcPr>
            <w:tcW w:w="720" w:type="dxa"/>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pPr>
              <w:spacing w:line="480" w:lineRule="exact"/>
              <w:jc w:val="center"/>
              <w:rPr>
                <w:rFonts w:ascii="宋体" w:hAnsi="宋体"/>
                <w:sz w:val="24"/>
              </w:rPr>
            </w:pPr>
          </w:p>
        </w:tc>
        <w:tc>
          <w:tcPr>
            <w:tcW w:w="198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440" w:type="dxa"/>
            <w:vAlign w:val="center"/>
          </w:tcPr>
          <w:p>
            <w:pPr>
              <w:spacing w:line="480" w:lineRule="exact"/>
              <w:rPr>
                <w:rFonts w:ascii="宋体" w:hAnsi="宋体"/>
                <w:sz w:val="24"/>
              </w:rPr>
            </w:pPr>
          </w:p>
        </w:tc>
        <w:tc>
          <w:tcPr>
            <w:tcW w:w="1778" w:type="dxa"/>
            <w:vAlign w:val="center"/>
          </w:tcPr>
          <w:p>
            <w:pPr>
              <w:spacing w:line="480" w:lineRule="exact"/>
              <w:rPr>
                <w:rFonts w:ascii="宋体" w:hAnsi="宋体"/>
                <w:sz w:val="24"/>
              </w:rPr>
            </w:pPr>
          </w:p>
        </w:tc>
        <w:tc>
          <w:tcPr>
            <w:tcW w:w="720" w:type="dxa"/>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spacing w:line="480" w:lineRule="exact"/>
              <w:jc w:val="center"/>
              <w:rPr>
                <w:rFonts w:ascii="宋体" w:hAnsi="宋体"/>
                <w:sz w:val="24"/>
              </w:rPr>
            </w:pPr>
          </w:p>
        </w:tc>
        <w:tc>
          <w:tcPr>
            <w:tcW w:w="198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440" w:type="dxa"/>
            <w:vAlign w:val="center"/>
          </w:tcPr>
          <w:p>
            <w:pPr>
              <w:spacing w:line="480" w:lineRule="exact"/>
              <w:rPr>
                <w:rFonts w:ascii="宋体" w:hAnsi="宋体"/>
                <w:sz w:val="24"/>
              </w:rPr>
            </w:pPr>
          </w:p>
        </w:tc>
        <w:tc>
          <w:tcPr>
            <w:tcW w:w="1778" w:type="dxa"/>
            <w:vAlign w:val="center"/>
          </w:tcPr>
          <w:p>
            <w:pPr>
              <w:spacing w:line="480" w:lineRule="exact"/>
              <w:rPr>
                <w:rFonts w:ascii="宋体" w:hAnsi="宋体"/>
                <w:sz w:val="24"/>
              </w:rPr>
            </w:pPr>
          </w:p>
        </w:tc>
        <w:tc>
          <w:tcPr>
            <w:tcW w:w="720" w:type="dxa"/>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spacing w:line="480" w:lineRule="exact"/>
              <w:jc w:val="center"/>
              <w:rPr>
                <w:rFonts w:ascii="宋体" w:hAnsi="宋体"/>
                <w:sz w:val="24"/>
              </w:rPr>
            </w:pPr>
          </w:p>
        </w:tc>
        <w:tc>
          <w:tcPr>
            <w:tcW w:w="198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440" w:type="dxa"/>
            <w:vAlign w:val="center"/>
          </w:tcPr>
          <w:p>
            <w:pPr>
              <w:spacing w:line="480" w:lineRule="exact"/>
              <w:rPr>
                <w:rFonts w:ascii="宋体" w:hAnsi="宋体"/>
                <w:sz w:val="24"/>
              </w:rPr>
            </w:pPr>
          </w:p>
        </w:tc>
        <w:tc>
          <w:tcPr>
            <w:tcW w:w="1778" w:type="dxa"/>
            <w:vAlign w:val="center"/>
          </w:tcPr>
          <w:p>
            <w:pPr>
              <w:spacing w:line="480" w:lineRule="exact"/>
              <w:rPr>
                <w:rFonts w:ascii="宋体" w:hAnsi="宋体"/>
                <w:sz w:val="24"/>
              </w:rPr>
            </w:pPr>
          </w:p>
        </w:tc>
        <w:tc>
          <w:tcPr>
            <w:tcW w:w="720" w:type="dxa"/>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spacing w:line="480" w:lineRule="exact"/>
              <w:rPr>
                <w:rFonts w:ascii="宋体" w:hAnsi="宋体"/>
                <w:sz w:val="24"/>
              </w:rPr>
            </w:pPr>
          </w:p>
        </w:tc>
        <w:tc>
          <w:tcPr>
            <w:tcW w:w="198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440" w:type="dxa"/>
            <w:vAlign w:val="center"/>
          </w:tcPr>
          <w:p>
            <w:pPr>
              <w:spacing w:line="480" w:lineRule="exact"/>
              <w:rPr>
                <w:rFonts w:ascii="宋体" w:hAnsi="宋体"/>
                <w:sz w:val="24"/>
              </w:rPr>
            </w:pPr>
          </w:p>
        </w:tc>
        <w:tc>
          <w:tcPr>
            <w:tcW w:w="1778" w:type="dxa"/>
            <w:vAlign w:val="center"/>
          </w:tcPr>
          <w:p>
            <w:pPr>
              <w:spacing w:line="480" w:lineRule="exact"/>
              <w:rPr>
                <w:rFonts w:ascii="宋体" w:hAnsi="宋体"/>
                <w:sz w:val="24"/>
              </w:rPr>
            </w:pPr>
          </w:p>
        </w:tc>
        <w:tc>
          <w:tcPr>
            <w:tcW w:w="720" w:type="dxa"/>
            <w:vAlign w:val="center"/>
          </w:tcPr>
          <w:p>
            <w:pPr>
              <w:spacing w:line="480" w:lineRule="exact"/>
              <w:rPr>
                <w:rFonts w:ascii="宋体" w:hAnsi="宋体"/>
                <w:sz w:val="24"/>
              </w:rPr>
            </w:pPr>
          </w:p>
        </w:tc>
      </w:tr>
    </w:tbl>
    <w:p>
      <w:pPr>
        <w:pStyle w:val="7"/>
        <w:ind w:firstLine="0"/>
        <w:rPr>
          <w:rFonts w:ascii="宋体" w:hAnsi="宋体"/>
        </w:rPr>
      </w:pPr>
    </w:p>
    <w:p>
      <w:pPr>
        <w:tabs>
          <w:tab w:val="left" w:pos="1680"/>
        </w:tabs>
        <w:rPr>
          <w:rFonts w:ascii="宋体" w:hAnsi="宋体"/>
          <w:sz w:val="24"/>
          <w:u w:val="single"/>
        </w:rPr>
      </w:pPr>
      <w:r>
        <w:rPr>
          <w:rFonts w:hint="eastAsia" w:ascii="宋体" w:hAnsi="宋体"/>
          <w:sz w:val="24"/>
        </w:rPr>
        <w:t>供应商名称</w:t>
      </w:r>
      <w:r>
        <w:rPr>
          <w:rFonts w:hint="eastAsia" w:ascii="宋体" w:hAnsi="宋体"/>
          <w:sz w:val="24"/>
          <w:u w:val="single"/>
        </w:rPr>
        <w:t>(盖章)</w:t>
      </w:r>
      <w:r>
        <w:rPr>
          <w:rFonts w:hint="eastAsia" w:ascii="宋体" w:hAnsi="宋体"/>
          <w:sz w:val="24"/>
        </w:rPr>
        <w:t xml:space="preserve">： </w:t>
      </w:r>
      <w:r>
        <w:rPr>
          <w:rFonts w:hint="eastAsia" w:ascii="宋体" w:hAnsi="宋体"/>
          <w:sz w:val="24"/>
          <w:u w:val="single"/>
        </w:rPr>
        <w:t xml:space="preserve">                         </w:t>
      </w:r>
    </w:p>
    <w:p>
      <w:pPr>
        <w:tabs>
          <w:tab w:val="left" w:pos="1680"/>
        </w:tabs>
        <w:rPr>
          <w:rFonts w:ascii="宋体" w:hAnsi="宋体"/>
          <w:sz w:val="24"/>
          <w:u w:val="single"/>
        </w:rPr>
      </w:pPr>
    </w:p>
    <w:p>
      <w:pPr>
        <w:tabs>
          <w:tab w:val="left" w:pos="1680"/>
        </w:tabs>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rPr>
          <w:rFonts w:ascii="宋体" w:hAnsi="宋体"/>
          <w:b/>
          <w:sz w:val="24"/>
        </w:rPr>
      </w:pPr>
      <w:r>
        <w:rPr>
          <w:rFonts w:hint="eastAsia" w:ascii="宋体" w:hAnsi="宋体"/>
          <w:b/>
          <w:sz w:val="24"/>
        </w:rPr>
        <w:t xml:space="preserve">    </w:t>
      </w:r>
    </w:p>
    <w:p>
      <w:pPr>
        <w:tabs>
          <w:tab w:val="left" w:pos="1680"/>
        </w:tabs>
        <w:rPr>
          <w:rFonts w:ascii="宋体" w:hAnsi="宋体"/>
          <w:sz w:val="22"/>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firstLine="375"/>
        <w:rPr>
          <w:rFonts w:ascii="宋体" w:hAnsi="宋体"/>
          <w:sz w:val="22"/>
        </w:rPr>
      </w:pPr>
    </w:p>
    <w:p>
      <w:pPr>
        <w:ind w:firstLine="375"/>
        <w:rPr>
          <w:rFonts w:ascii="宋体" w:hAnsi="宋体"/>
          <w:sz w:val="22"/>
        </w:rPr>
      </w:pPr>
    </w:p>
    <w:p>
      <w:pPr>
        <w:spacing w:line="360" w:lineRule="auto"/>
        <w:rPr>
          <w:rFonts w:ascii="宋体" w:hAnsi="宋体"/>
          <w:sz w:val="22"/>
        </w:rPr>
      </w:pPr>
      <w:r>
        <w:rPr>
          <w:rFonts w:hint="eastAsia" w:ascii="宋体" w:hAnsi="宋体"/>
          <w:sz w:val="22"/>
        </w:rPr>
        <w:t>注：</w:t>
      </w:r>
      <w:r>
        <w:rPr>
          <w:rFonts w:ascii="宋体" w:hAnsi="宋体"/>
          <w:sz w:val="22"/>
        </w:rPr>
        <w:t>1</w:t>
      </w:r>
      <w:r>
        <w:rPr>
          <w:rFonts w:hint="eastAsia" w:ascii="宋体" w:hAnsi="宋体"/>
          <w:sz w:val="22"/>
        </w:rPr>
        <w:t>、供应商应随此表附上相关的业绩证明或业务合同复印件；</w:t>
      </w:r>
    </w:p>
    <w:p>
      <w:pPr>
        <w:pStyle w:val="7"/>
        <w:ind w:firstLine="321" w:firstLineChars="100"/>
        <w:rPr>
          <w:rFonts w:ascii="宋体" w:hAnsi="宋体"/>
        </w:rPr>
      </w:pPr>
      <w:r>
        <w:rPr>
          <w:rFonts w:hint="eastAsia" w:ascii="宋体" w:hAnsi="宋体"/>
          <w:b/>
          <w:sz w:val="32"/>
        </w:rPr>
        <w:t xml:space="preserve"> </w:t>
      </w:r>
      <w:r>
        <w:rPr>
          <w:rFonts w:ascii="宋体" w:hAnsi="宋体"/>
          <w:sz w:val="22"/>
        </w:rPr>
        <w:t>2</w:t>
      </w:r>
      <w:r>
        <w:rPr>
          <w:rFonts w:hint="eastAsia" w:ascii="宋体" w:hAnsi="宋体"/>
          <w:sz w:val="22"/>
        </w:rPr>
        <w:t>、如有多个类似项目，可按此表格扩展</w:t>
      </w:r>
    </w:p>
    <w:p>
      <w:pPr>
        <w:spacing w:line="360" w:lineRule="auto"/>
        <w:rPr>
          <w:rFonts w:ascii="宋体" w:hAnsi="宋体"/>
          <w:b/>
          <w:kern w:val="0"/>
          <w:sz w:val="24"/>
        </w:rPr>
      </w:pPr>
    </w:p>
    <w:p>
      <w:pPr>
        <w:spacing w:line="360" w:lineRule="auto"/>
        <w:jc w:val="center"/>
        <w:rPr>
          <w:rFonts w:ascii="宋体" w:hAnsi="宋体"/>
          <w:b/>
          <w:sz w:val="24"/>
          <w:szCs w:val="24"/>
        </w:rPr>
      </w:pPr>
      <w:r>
        <w:rPr>
          <w:rFonts w:ascii="宋体" w:hAnsi="宋体"/>
          <w:b/>
          <w:szCs w:val="24"/>
        </w:rPr>
        <w:br w:type="page"/>
      </w:r>
    </w:p>
    <w:p>
      <w:pPr>
        <w:pStyle w:val="4"/>
        <w:rPr>
          <w:rFonts w:ascii="宋体" w:hAnsi="宋体"/>
        </w:rPr>
      </w:pPr>
      <w:bookmarkStart w:id="117" w:name="_Toc146043916"/>
      <w:r>
        <w:rPr>
          <w:rFonts w:hint="eastAsia" w:ascii="宋体" w:hAnsi="宋体"/>
        </w:rPr>
        <w:t>3.商务条款偏离表</w:t>
      </w:r>
      <w:bookmarkEnd w:id="117"/>
      <w:r>
        <w:rPr>
          <w:rFonts w:hint="eastAsia" w:ascii="宋体" w:hAnsi="宋体"/>
        </w:rPr>
        <w:t xml:space="preserve"> </w:t>
      </w:r>
    </w:p>
    <w:p>
      <w:pPr>
        <w:spacing w:line="360"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 xml:space="preserve"> 项目编号：</w:t>
      </w:r>
      <w:r>
        <w:rPr>
          <w:rFonts w:hint="eastAsia" w:ascii="宋体" w:hAnsi="宋体"/>
          <w:b/>
          <w:sz w:val="24"/>
          <w:szCs w:val="24"/>
          <w:u w:val="single"/>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552"/>
        <w:gridCol w:w="1559"/>
        <w:gridCol w:w="1701"/>
        <w:gridCol w:w="893"/>
        <w:gridCol w:w="1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7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110"/>
              <w:jc w:val="center"/>
              <w:textAlignment w:val="bottom"/>
              <w:rPr>
                <w:rFonts w:ascii="宋体" w:hAnsi="宋体"/>
                <w:sz w:val="24"/>
                <w:szCs w:val="24"/>
              </w:rPr>
            </w:pPr>
            <w:r>
              <w:rPr>
                <w:rFonts w:hint="eastAsia" w:ascii="宋体" w:hAnsi="宋体"/>
                <w:sz w:val="24"/>
                <w:szCs w:val="24"/>
              </w:rPr>
              <w:t>序号</w:t>
            </w:r>
          </w:p>
        </w:tc>
        <w:tc>
          <w:tcPr>
            <w:tcW w:w="25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105"/>
              <w:jc w:val="center"/>
              <w:textAlignment w:val="bottom"/>
              <w:rPr>
                <w:rFonts w:ascii="宋体" w:hAnsi="宋体"/>
                <w:sz w:val="24"/>
                <w:szCs w:val="24"/>
              </w:rPr>
            </w:pPr>
            <w:r>
              <w:rPr>
                <w:rFonts w:hint="eastAsia" w:ascii="宋体" w:hAnsi="宋体"/>
                <w:sz w:val="24"/>
                <w:szCs w:val="24"/>
              </w:rPr>
              <w:t>磋商文件章节及条款号</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108"/>
              <w:jc w:val="center"/>
              <w:textAlignment w:val="bottom"/>
              <w:rPr>
                <w:rFonts w:ascii="宋体" w:hAnsi="宋体"/>
                <w:sz w:val="24"/>
                <w:szCs w:val="24"/>
              </w:rPr>
            </w:pPr>
            <w:r>
              <w:rPr>
                <w:rFonts w:hint="eastAsia" w:ascii="宋体" w:hAnsi="宋体"/>
                <w:sz w:val="24"/>
                <w:szCs w:val="24"/>
              </w:rPr>
              <w:t>磋商文件要求</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sz w:val="24"/>
                <w:szCs w:val="24"/>
              </w:rPr>
            </w:pPr>
            <w:r>
              <w:rPr>
                <w:rFonts w:hint="eastAsia" w:ascii="宋体" w:hAnsi="宋体"/>
                <w:sz w:val="24"/>
                <w:szCs w:val="24"/>
              </w:rPr>
              <w:t>响应文件响应</w:t>
            </w: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sz w:val="24"/>
                <w:szCs w:val="24"/>
              </w:rPr>
            </w:pPr>
            <w:r>
              <w:rPr>
                <w:rFonts w:hint="eastAsia" w:ascii="宋体" w:hAnsi="宋体"/>
                <w:sz w:val="24"/>
                <w:szCs w:val="24"/>
              </w:rPr>
              <w:t>响应/偏离</w:t>
            </w:r>
          </w:p>
        </w:tc>
        <w:tc>
          <w:tcPr>
            <w:tcW w:w="14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sz w:val="24"/>
                <w:szCs w:val="24"/>
              </w:rPr>
            </w:pPr>
            <w:r>
              <w:rPr>
                <w:rFonts w:hint="eastAsia" w:ascii="宋体" w:hAnsi="宋体"/>
                <w:sz w:val="24"/>
                <w:szCs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p>
            <w:pPr>
              <w:autoSpaceDE w:val="0"/>
              <w:autoSpaceDN w:val="0"/>
              <w:spacing w:line="360" w:lineRule="auto"/>
              <w:ind w:right="893"/>
              <w:textAlignment w:val="bottom"/>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1701"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893"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p>
            <w:pPr>
              <w:autoSpaceDE w:val="0"/>
              <w:autoSpaceDN w:val="0"/>
              <w:spacing w:line="360" w:lineRule="auto"/>
              <w:ind w:right="893"/>
              <w:textAlignment w:val="bottom"/>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1701"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893"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p>
            <w:pPr>
              <w:autoSpaceDE w:val="0"/>
              <w:autoSpaceDN w:val="0"/>
              <w:spacing w:line="360" w:lineRule="auto"/>
              <w:ind w:right="893"/>
              <w:textAlignment w:val="bottom"/>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1701"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893"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p>
            <w:pPr>
              <w:autoSpaceDE w:val="0"/>
              <w:autoSpaceDN w:val="0"/>
              <w:spacing w:line="360" w:lineRule="auto"/>
              <w:ind w:right="893"/>
              <w:textAlignment w:val="bottom"/>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1701"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893"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p>
            <w:pPr>
              <w:autoSpaceDE w:val="0"/>
              <w:autoSpaceDN w:val="0"/>
              <w:spacing w:line="360" w:lineRule="auto"/>
              <w:ind w:right="893"/>
              <w:textAlignment w:val="bottom"/>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1701"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893"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p>
            <w:pPr>
              <w:autoSpaceDE w:val="0"/>
              <w:autoSpaceDN w:val="0"/>
              <w:spacing w:line="360" w:lineRule="auto"/>
              <w:ind w:right="893"/>
              <w:textAlignment w:val="bottom"/>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1701"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893"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255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p>
            <w:pPr>
              <w:autoSpaceDE w:val="0"/>
              <w:autoSpaceDN w:val="0"/>
              <w:spacing w:line="360" w:lineRule="auto"/>
              <w:ind w:right="893"/>
              <w:textAlignment w:val="bottom"/>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1701"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893"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893"/>
              <w:textAlignment w:val="bottom"/>
              <w:rPr>
                <w:rFonts w:ascii="宋体" w:hAnsi="宋体"/>
                <w:sz w:val="24"/>
                <w:szCs w:val="24"/>
              </w:rPr>
            </w:pPr>
          </w:p>
        </w:tc>
      </w:tr>
    </w:tbl>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供应商代表签字： _____________</w:t>
      </w: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供应商名称（盖章）：</w:t>
      </w:r>
      <w:r>
        <w:rPr>
          <w:rFonts w:hint="eastAsia" w:ascii="宋体" w:hAnsi="宋体"/>
          <w:sz w:val="24"/>
          <w:szCs w:val="24"/>
          <w:u w:val="single"/>
        </w:rPr>
        <w:t xml:space="preserve">               </w:t>
      </w: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p>
    <w:p>
      <w:pPr>
        <w:autoSpaceDE w:val="0"/>
        <w:autoSpaceDN w:val="0"/>
        <w:spacing w:line="360" w:lineRule="auto"/>
        <w:ind w:right="893"/>
        <w:textAlignment w:val="bottom"/>
        <w:rPr>
          <w:rFonts w:ascii="宋体" w:hAnsi="宋体"/>
          <w:sz w:val="24"/>
          <w:szCs w:val="24"/>
        </w:rPr>
      </w:pPr>
    </w:p>
    <w:p>
      <w:pPr>
        <w:autoSpaceDE w:val="0"/>
        <w:autoSpaceDN w:val="0"/>
        <w:spacing w:line="360" w:lineRule="auto"/>
        <w:ind w:right="893"/>
        <w:textAlignment w:val="bottom"/>
        <w:rPr>
          <w:rFonts w:ascii="宋体" w:hAnsi="宋体"/>
          <w:sz w:val="24"/>
          <w:szCs w:val="24"/>
        </w:rPr>
      </w:pPr>
      <w:r>
        <w:rPr>
          <w:rFonts w:hint="eastAsia" w:ascii="宋体" w:hAnsi="宋体"/>
          <w:sz w:val="24"/>
          <w:szCs w:val="24"/>
        </w:rPr>
        <w:t>注：</w:t>
      </w:r>
    </w:p>
    <w:p>
      <w:pPr>
        <w:autoSpaceDE w:val="0"/>
        <w:autoSpaceDN w:val="0"/>
        <w:spacing w:line="360" w:lineRule="auto"/>
        <w:ind w:right="84"/>
        <w:textAlignment w:val="bottom"/>
        <w:rPr>
          <w:rFonts w:ascii="宋体" w:hAnsi="宋体"/>
          <w:sz w:val="24"/>
          <w:szCs w:val="24"/>
        </w:rPr>
      </w:pPr>
      <w:r>
        <w:rPr>
          <w:rFonts w:hint="eastAsia" w:ascii="宋体" w:hAnsi="宋体"/>
          <w:sz w:val="24"/>
          <w:szCs w:val="24"/>
        </w:rPr>
        <w:t>1、对竞争性磋商文件有任何偏离请在本表中详细填写；如对商务条款没有偏离，请注明“无偏离”。</w:t>
      </w:r>
    </w:p>
    <w:p>
      <w:pPr>
        <w:spacing w:line="360" w:lineRule="auto"/>
        <w:rPr>
          <w:rFonts w:ascii="宋体" w:hAnsi="宋体"/>
          <w:sz w:val="24"/>
          <w:szCs w:val="24"/>
        </w:rPr>
      </w:pPr>
      <w:r>
        <w:rPr>
          <w:rFonts w:hint="eastAsia" w:ascii="宋体" w:hAnsi="宋体"/>
          <w:sz w:val="24"/>
          <w:szCs w:val="24"/>
        </w:rPr>
        <w:t>2、此表格经法人授权代表签字方有效。</w:t>
      </w:r>
    </w:p>
    <w:p>
      <w:pPr>
        <w:widowControl/>
        <w:jc w:val="left"/>
        <w:rPr>
          <w:rFonts w:ascii="宋体" w:hAnsi="宋体"/>
          <w:sz w:val="24"/>
          <w:szCs w:val="24"/>
        </w:rPr>
      </w:pPr>
      <w:r>
        <w:rPr>
          <w:rFonts w:ascii="宋体" w:hAnsi="宋体"/>
          <w:sz w:val="24"/>
          <w:szCs w:val="24"/>
        </w:rPr>
        <w:br w:type="page"/>
      </w:r>
    </w:p>
    <w:p>
      <w:pPr>
        <w:pStyle w:val="4"/>
        <w:rPr>
          <w:rFonts w:ascii="宋体" w:hAnsi="宋体"/>
        </w:rPr>
      </w:pPr>
      <w:bookmarkStart w:id="118" w:name="_Toc146043917"/>
      <w:r>
        <w:rPr>
          <w:rFonts w:ascii="宋体" w:hAnsi="宋体"/>
        </w:rPr>
        <w:t>4.</w:t>
      </w:r>
      <w:r>
        <w:rPr>
          <w:rFonts w:hint="eastAsia" w:ascii="宋体" w:hAnsi="宋体"/>
        </w:rPr>
        <w:t>成交服务费承诺书</w:t>
      </w:r>
      <w:bookmarkEnd w:id="118"/>
      <w:r>
        <w:rPr>
          <w:rFonts w:hint="eastAsia" w:ascii="宋体" w:hAnsi="宋体"/>
        </w:rPr>
        <w:t xml:space="preserve"> </w:t>
      </w:r>
    </w:p>
    <w:p>
      <w:pPr>
        <w:spacing w:line="360" w:lineRule="auto"/>
        <w:jc w:val="center"/>
        <w:rPr>
          <w:rFonts w:ascii="宋体" w:hAnsi="宋体"/>
          <w:b/>
          <w:sz w:val="24"/>
          <w:szCs w:val="24"/>
        </w:rPr>
      </w:pPr>
    </w:p>
    <w:p>
      <w:pPr>
        <w:widowControl/>
        <w:autoSpaceDE w:val="0"/>
        <w:autoSpaceDN w:val="0"/>
        <w:spacing w:line="360" w:lineRule="auto"/>
        <w:ind w:right="26"/>
        <w:textAlignment w:val="bottom"/>
        <w:rPr>
          <w:rFonts w:ascii="宋体" w:hAnsi="宋体"/>
          <w:sz w:val="24"/>
          <w:szCs w:val="24"/>
        </w:rPr>
      </w:pPr>
      <w:r>
        <w:rPr>
          <w:rFonts w:hint="eastAsia" w:ascii="宋体" w:hAnsi="宋体"/>
          <w:sz w:val="24"/>
          <w:szCs w:val="24"/>
        </w:rPr>
        <w:t>致：北京国际工程咨询有限公司</w:t>
      </w:r>
    </w:p>
    <w:p>
      <w:pPr>
        <w:widowControl/>
        <w:autoSpaceDE w:val="0"/>
        <w:autoSpaceDN w:val="0"/>
        <w:spacing w:line="360" w:lineRule="auto"/>
        <w:ind w:left="359" w:right="26" w:hanging="357"/>
        <w:textAlignment w:val="bottom"/>
        <w:rPr>
          <w:rFonts w:ascii="宋体" w:hAnsi="宋体"/>
          <w:sz w:val="24"/>
          <w:szCs w:val="24"/>
        </w:rPr>
      </w:pPr>
    </w:p>
    <w:p>
      <w:pPr>
        <w:widowControl/>
        <w:autoSpaceDE w:val="0"/>
        <w:autoSpaceDN w:val="0"/>
        <w:spacing w:line="360" w:lineRule="auto"/>
        <w:ind w:right="26" w:firstLine="540"/>
        <w:jc w:val="left"/>
        <w:textAlignment w:val="bottom"/>
        <w:rPr>
          <w:rFonts w:ascii="宋体" w:hAnsi="宋体"/>
          <w:sz w:val="24"/>
          <w:szCs w:val="24"/>
        </w:rPr>
      </w:pPr>
      <w:r>
        <w:rPr>
          <w:rFonts w:hint="eastAsia" w:ascii="宋体" w:hAnsi="宋体"/>
          <w:sz w:val="24"/>
          <w:szCs w:val="24"/>
        </w:rPr>
        <w:t>我们在贵公司代理的</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竞争性磋商中若获成交，我们保证在收到成交通知书后5日内按竞争性磋商文件的规定，以支票、银行汇票、电汇、现金或经贵公司认可的一种方式，向贵公司指定的银行帐号，按照竞争性磋商文件第二章供应商须知规定一次性支付合同金额的成交服务费。</w:t>
      </w:r>
    </w:p>
    <w:p>
      <w:pPr>
        <w:widowControl/>
        <w:autoSpaceDE w:val="0"/>
        <w:autoSpaceDN w:val="0"/>
        <w:spacing w:line="360" w:lineRule="auto"/>
        <w:ind w:right="26" w:firstLine="540"/>
        <w:textAlignment w:val="bottom"/>
        <w:rPr>
          <w:rFonts w:ascii="宋体" w:hAnsi="宋体"/>
          <w:sz w:val="24"/>
          <w:szCs w:val="24"/>
        </w:rPr>
      </w:pPr>
    </w:p>
    <w:p>
      <w:pPr>
        <w:widowControl/>
        <w:autoSpaceDE w:val="0"/>
        <w:autoSpaceDN w:val="0"/>
        <w:spacing w:line="360" w:lineRule="auto"/>
        <w:ind w:right="26" w:firstLine="540"/>
        <w:textAlignment w:val="bottom"/>
        <w:rPr>
          <w:rFonts w:ascii="宋体" w:hAnsi="宋体"/>
          <w:sz w:val="24"/>
          <w:szCs w:val="24"/>
        </w:rPr>
      </w:pPr>
      <w:r>
        <w:rPr>
          <w:rFonts w:hint="eastAsia" w:ascii="宋体" w:hAnsi="宋体"/>
          <w:sz w:val="24"/>
          <w:szCs w:val="24"/>
        </w:rPr>
        <w:t>特此承诺。</w:t>
      </w:r>
    </w:p>
    <w:p>
      <w:pPr>
        <w:widowControl/>
        <w:autoSpaceDE w:val="0"/>
        <w:autoSpaceDN w:val="0"/>
        <w:spacing w:line="360" w:lineRule="auto"/>
        <w:ind w:right="26"/>
        <w:textAlignment w:val="bottom"/>
        <w:rPr>
          <w:rFonts w:ascii="宋体" w:hAnsi="宋体"/>
          <w:sz w:val="24"/>
          <w:szCs w:val="24"/>
        </w:rPr>
      </w:pPr>
    </w:p>
    <w:p>
      <w:pPr>
        <w:widowControl/>
        <w:autoSpaceDE w:val="0"/>
        <w:autoSpaceDN w:val="0"/>
        <w:spacing w:line="360" w:lineRule="auto"/>
        <w:ind w:right="26"/>
        <w:textAlignment w:val="bottom"/>
        <w:rPr>
          <w:rFonts w:ascii="宋体" w:hAnsi="宋体"/>
          <w:sz w:val="24"/>
          <w:szCs w:val="24"/>
        </w:rPr>
      </w:pPr>
    </w:p>
    <w:p>
      <w:pPr>
        <w:widowControl/>
        <w:autoSpaceDE w:val="0"/>
        <w:autoSpaceDN w:val="0"/>
        <w:spacing w:line="360" w:lineRule="auto"/>
        <w:ind w:left="359" w:right="26" w:hanging="357"/>
        <w:textAlignment w:val="bottom"/>
        <w:rPr>
          <w:rFonts w:ascii="宋体" w:hAnsi="宋体"/>
          <w:sz w:val="24"/>
          <w:szCs w:val="24"/>
        </w:rPr>
      </w:pPr>
    </w:p>
    <w:p>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hint="eastAsia" w:ascii="宋体" w:hAnsi="宋体"/>
          <w:sz w:val="24"/>
          <w:szCs w:val="24"/>
        </w:rPr>
        <w:t>承诺方名称（承诺方盖章）：</w:t>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rPr>
        <w:t xml:space="preserve"> </w:t>
      </w:r>
    </w:p>
    <w:p>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 </w:t>
      </w:r>
    </w:p>
    <w:p>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 xml:space="preserve">          </w:t>
      </w:r>
    </w:p>
    <w:p>
      <w:pPr>
        <w:widowControl/>
        <w:autoSpaceDE w:val="0"/>
        <w:autoSpaceDN w:val="0"/>
        <w:adjustRightInd w:val="0"/>
        <w:snapToGrid w:val="0"/>
        <w:spacing w:line="360" w:lineRule="auto"/>
        <w:ind w:left="357" w:right="28" w:hanging="357"/>
        <w:textAlignment w:val="bottom"/>
        <w:rPr>
          <w:rFonts w:ascii="宋体" w:hAnsi="宋体"/>
          <w:sz w:val="24"/>
          <w:szCs w:val="24"/>
          <w:u w:val="single"/>
        </w:rPr>
      </w:pPr>
      <w:r>
        <w:rPr>
          <w:rFonts w:hint="eastAsia" w:ascii="宋体" w:hAnsi="宋体"/>
          <w:sz w:val="24"/>
          <w:szCs w:val="24"/>
        </w:rPr>
        <w:t>传真：</w:t>
      </w:r>
      <w:r>
        <w:rPr>
          <w:rFonts w:hint="eastAsia" w:ascii="宋体" w:hAnsi="宋体"/>
          <w:sz w:val="24"/>
          <w:szCs w:val="24"/>
          <w:u w:val="single"/>
        </w:rPr>
        <w:t xml:space="preserve">                   </w:t>
      </w:r>
    </w:p>
    <w:p>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hint="eastAsia" w:ascii="宋体" w:hAnsi="宋体"/>
          <w:sz w:val="24"/>
          <w:szCs w:val="24"/>
        </w:rPr>
        <w:t>邮编：</w:t>
      </w:r>
      <w:r>
        <w:rPr>
          <w:rFonts w:hint="eastAsia" w:ascii="宋体" w:hAnsi="宋体"/>
          <w:sz w:val="24"/>
          <w:szCs w:val="24"/>
          <w:u w:val="single"/>
        </w:rPr>
        <w:t xml:space="preserve">                    </w:t>
      </w:r>
      <w:r>
        <w:rPr>
          <w:rFonts w:hint="eastAsia" w:ascii="宋体" w:hAnsi="宋体"/>
          <w:sz w:val="24"/>
          <w:szCs w:val="24"/>
        </w:rPr>
        <w:t xml:space="preserve"> </w:t>
      </w:r>
    </w:p>
    <w:p>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hint="eastAsia" w:ascii="宋体" w:hAnsi="宋体"/>
          <w:sz w:val="24"/>
          <w:szCs w:val="24"/>
        </w:rPr>
        <w:t>承诺方代表签字：</w:t>
      </w:r>
      <w:r>
        <w:rPr>
          <w:rFonts w:hint="eastAsia" w:ascii="宋体" w:hAnsi="宋体"/>
          <w:sz w:val="24"/>
          <w:szCs w:val="24"/>
          <w:u w:val="single"/>
        </w:rPr>
        <w:t xml:space="preserve">                    </w:t>
      </w:r>
    </w:p>
    <w:p>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hint="eastAsia" w:ascii="宋体" w:hAnsi="宋体"/>
          <w:sz w:val="24"/>
          <w:szCs w:val="24"/>
        </w:rPr>
        <w:t>承诺日期：</w:t>
      </w:r>
      <w:r>
        <w:rPr>
          <w:rFonts w:hint="eastAsia" w:ascii="宋体" w:hAnsi="宋体"/>
          <w:sz w:val="24"/>
          <w:szCs w:val="24"/>
          <w:u w:val="single"/>
        </w:rPr>
        <w:t xml:space="preserve">                      </w:t>
      </w:r>
      <w:r>
        <w:rPr>
          <w:rFonts w:hint="eastAsia" w:ascii="宋体" w:hAnsi="宋体"/>
          <w:sz w:val="24"/>
          <w:szCs w:val="24"/>
        </w:rPr>
        <w:t xml:space="preserve"> </w:t>
      </w:r>
    </w:p>
    <w:p>
      <w:pPr>
        <w:pStyle w:val="4"/>
        <w:rPr>
          <w:rFonts w:ascii="宋体" w:hAnsi="宋体"/>
        </w:rPr>
      </w:pPr>
      <w:r>
        <w:rPr>
          <w:rFonts w:ascii="宋体" w:hAnsi="宋体"/>
        </w:rPr>
        <w:br w:type="page"/>
      </w:r>
      <w:bookmarkStart w:id="119" w:name="_Toc146043918"/>
      <w:r>
        <w:rPr>
          <w:rFonts w:ascii="宋体" w:hAnsi="宋体"/>
        </w:rPr>
        <w:t>5</w:t>
      </w:r>
      <w:r>
        <w:rPr>
          <w:rFonts w:hint="eastAsia" w:ascii="宋体" w:hAnsi="宋体"/>
        </w:rPr>
        <w:t>.磋商保证金递交证明</w:t>
      </w:r>
      <w:bookmarkEnd w:id="119"/>
    </w:p>
    <w:p>
      <w:pPr>
        <w:spacing w:line="360" w:lineRule="auto"/>
        <w:ind w:firstLine="480" w:firstLineChars="200"/>
        <w:rPr>
          <w:rFonts w:ascii="宋体" w:hAnsi="宋体"/>
          <w:sz w:val="24"/>
          <w:szCs w:val="24"/>
        </w:rPr>
      </w:pPr>
      <w:r>
        <w:rPr>
          <w:rFonts w:hint="eastAsia" w:ascii="宋体" w:hAnsi="宋体"/>
          <w:sz w:val="24"/>
          <w:szCs w:val="24"/>
        </w:rPr>
        <w:t>此磋商保证金或其交纳凭据</w:t>
      </w:r>
      <w:r>
        <w:rPr>
          <w:rFonts w:ascii="宋体" w:hAnsi="宋体"/>
          <w:sz w:val="24"/>
          <w:szCs w:val="24"/>
        </w:rPr>
        <w:t>/</w:t>
      </w:r>
      <w:r>
        <w:rPr>
          <w:rFonts w:hint="eastAsia" w:ascii="宋体" w:hAnsi="宋体"/>
          <w:sz w:val="24"/>
          <w:szCs w:val="24"/>
        </w:rPr>
        <w:t>证明的复印件还应与一份另行制作的报价表原件一起密封后单独递交。</w:t>
      </w:r>
    </w:p>
    <w:p>
      <w:pPr>
        <w:rPr>
          <w:rFonts w:ascii="宋体" w:hAnsi="宋体"/>
        </w:rPr>
      </w:pPr>
    </w:p>
    <w:p>
      <w:pPr>
        <w:rPr>
          <w:rFonts w:ascii="宋体" w:hAnsi="宋体"/>
        </w:rPr>
      </w:pPr>
      <w:r>
        <w:rPr>
          <w:rFonts w:ascii="宋体" w:hAnsi="宋体"/>
        </w:rPr>
        <w:br w:type="page"/>
      </w:r>
    </w:p>
    <w:p>
      <w:pPr>
        <w:pStyle w:val="4"/>
        <w:rPr>
          <w:rFonts w:ascii="宋体" w:hAnsi="宋体"/>
        </w:rPr>
      </w:pPr>
      <w:bookmarkStart w:id="120" w:name="_Toc324752551"/>
      <w:bookmarkStart w:id="121" w:name="_Toc146043919"/>
      <w:bookmarkStart w:id="122" w:name="_Toc324777976"/>
      <w:bookmarkStart w:id="123" w:name="_Toc324783051"/>
      <w:bookmarkStart w:id="124" w:name="_Toc324779497"/>
      <w:r>
        <w:rPr>
          <w:rFonts w:ascii="宋体" w:hAnsi="宋体"/>
        </w:rPr>
        <w:t>6</w:t>
      </w:r>
      <w:r>
        <w:rPr>
          <w:rFonts w:hint="eastAsia" w:ascii="宋体" w:hAnsi="宋体"/>
        </w:rPr>
        <w:t>.供应商情况表</w:t>
      </w:r>
      <w:bookmarkEnd w:id="120"/>
      <w:bookmarkEnd w:id="121"/>
      <w:bookmarkEnd w:id="122"/>
      <w:bookmarkEnd w:id="123"/>
      <w:bookmarkEnd w:id="124"/>
      <w:r>
        <w:rPr>
          <w:rFonts w:hint="eastAsia" w:ascii="宋体" w:hAnsi="宋体"/>
        </w:rPr>
        <w:t xml:space="preserve"> </w:t>
      </w:r>
    </w:p>
    <w:tbl>
      <w:tblPr>
        <w:tblStyle w:val="48"/>
        <w:tblW w:w="8568"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989"/>
        <w:gridCol w:w="860"/>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供应商名称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邮政</w:t>
            </w:r>
          </w:p>
          <w:p>
            <w:pPr>
              <w:topLinePunct/>
              <w:spacing w:line="440" w:lineRule="exact"/>
              <w:jc w:val="center"/>
              <w:rPr>
                <w:rFonts w:ascii="宋体" w:hAnsi="宋体"/>
                <w:sz w:val="24"/>
                <w:szCs w:val="24"/>
              </w:rPr>
            </w:pPr>
            <w:r>
              <w:rPr>
                <w:rFonts w:hint="eastAsia" w:ascii="宋体" w:hAnsi="宋体"/>
                <w:sz w:val="24"/>
                <w:szCs w:val="24"/>
              </w:rPr>
              <w:t>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联系方式</w:t>
            </w:r>
          </w:p>
        </w:tc>
        <w:tc>
          <w:tcPr>
            <w:tcW w:w="98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联系人</w:t>
            </w:r>
          </w:p>
        </w:tc>
        <w:tc>
          <w:tcPr>
            <w:tcW w:w="2431"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传  真</w:t>
            </w:r>
          </w:p>
        </w:tc>
        <w:tc>
          <w:tcPr>
            <w:tcW w:w="2431"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法定代表人</w:t>
            </w:r>
          </w:p>
        </w:tc>
        <w:tc>
          <w:tcPr>
            <w:tcW w:w="98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姓名</w:t>
            </w: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jc w:val="center"/>
              <w:rPr>
                <w:rFonts w:ascii="宋体" w:hAnsi="宋体"/>
                <w:sz w:val="24"/>
                <w:szCs w:val="24"/>
              </w:rPr>
            </w:pPr>
            <w:r>
              <w:rPr>
                <w:rFonts w:hint="eastAsia" w:ascii="宋体" w:hAnsi="宋体"/>
                <w:sz w:val="24"/>
                <w:szCs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企业资质</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统一社会信用代码</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开户银行及账号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szCs w:val="24"/>
              </w:rPr>
            </w:pPr>
            <w:r>
              <w:rPr>
                <w:rFonts w:hint="eastAsia" w:ascii="宋体" w:hAnsi="宋体"/>
                <w:sz w:val="24"/>
                <w:szCs w:val="24"/>
              </w:rPr>
              <w:t>近三年财务简况</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left"/>
              <w:rPr>
                <w:rFonts w:ascii="宋体" w:hAnsi="宋体"/>
                <w:sz w:val="24"/>
                <w:szCs w:val="24"/>
              </w:rPr>
            </w:pPr>
            <w:r>
              <w:rPr>
                <w:rFonts w:hint="eastAsia" w:ascii="宋体" w:hAnsi="宋体"/>
                <w:sz w:val="24"/>
                <w:szCs w:val="24"/>
              </w:rPr>
              <w:t>XXXX年度净资产：            营业额：         利润：</w:t>
            </w:r>
          </w:p>
          <w:p>
            <w:pPr>
              <w:topLinePunct/>
              <w:spacing w:line="440" w:lineRule="exact"/>
              <w:jc w:val="left"/>
              <w:rPr>
                <w:rFonts w:ascii="宋体" w:hAnsi="宋体"/>
                <w:sz w:val="24"/>
                <w:szCs w:val="24"/>
              </w:rPr>
            </w:pPr>
            <w:r>
              <w:rPr>
                <w:rFonts w:hint="eastAsia" w:ascii="宋体" w:hAnsi="宋体"/>
                <w:sz w:val="24"/>
                <w:szCs w:val="24"/>
              </w:rPr>
              <w:t>XXXX年度净资产：            营业额：         利润：</w:t>
            </w:r>
          </w:p>
          <w:p>
            <w:pPr>
              <w:topLinePunct/>
              <w:spacing w:line="440" w:lineRule="exact"/>
              <w:jc w:val="left"/>
              <w:rPr>
                <w:rFonts w:ascii="宋体" w:hAnsi="宋体"/>
                <w:sz w:val="24"/>
                <w:szCs w:val="24"/>
              </w:rPr>
            </w:pPr>
            <w:r>
              <w:rPr>
                <w:rFonts w:hint="eastAsia" w:ascii="宋体" w:hAnsi="宋体"/>
                <w:sz w:val="24"/>
                <w:szCs w:val="24"/>
              </w:rPr>
              <w:t>XXXX年度净资产：            营业额：         利润：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bottom w:val="nil"/>
              <w:right w:val="single" w:color="auto" w:sz="4" w:space="0"/>
            </w:tcBorders>
            <w:vAlign w:val="center"/>
          </w:tcPr>
          <w:p>
            <w:pPr>
              <w:topLinePunct/>
              <w:spacing w:line="440" w:lineRule="exact"/>
              <w:ind w:firstLine="240" w:firstLineChars="100"/>
              <w:rPr>
                <w:rFonts w:ascii="宋体" w:hAnsi="宋体"/>
                <w:sz w:val="24"/>
                <w:szCs w:val="24"/>
              </w:rPr>
            </w:pPr>
            <w:r>
              <w:rPr>
                <w:rFonts w:hint="eastAsia" w:ascii="宋体" w:hAnsi="宋体"/>
                <w:sz w:val="24"/>
                <w:szCs w:val="24"/>
              </w:rPr>
              <w:t>经营范围</w:t>
            </w:r>
          </w:p>
        </w:tc>
        <w:tc>
          <w:tcPr>
            <w:tcW w:w="6840" w:type="dxa"/>
            <w:gridSpan w:val="9"/>
            <w:tcBorders>
              <w:top w:val="single" w:color="auto" w:sz="4" w:space="0"/>
              <w:left w:val="single" w:color="auto" w:sz="4" w:space="0"/>
              <w:bottom w:val="nil"/>
              <w:right w:val="single" w:color="auto" w:sz="4" w:space="0"/>
            </w:tcBorders>
            <w:vAlign w:val="center"/>
          </w:tcPr>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bl>
    <w:p>
      <w:pPr>
        <w:autoSpaceDE w:val="0"/>
        <w:autoSpaceDN w:val="0"/>
        <w:adjustRightInd w:val="0"/>
        <w:snapToGrid w:val="0"/>
        <w:spacing w:before="25" w:after="25" w:line="360" w:lineRule="auto"/>
        <w:rPr>
          <w:rFonts w:ascii="宋体" w:hAnsi="宋体"/>
          <w:sz w:val="24"/>
          <w:lang w:val="zh-CN"/>
        </w:rPr>
      </w:pPr>
    </w:p>
    <w:p>
      <w:pPr>
        <w:autoSpaceDE w:val="0"/>
        <w:autoSpaceDN w:val="0"/>
        <w:adjustRightInd w:val="0"/>
        <w:snapToGrid w:val="0"/>
        <w:spacing w:before="25" w:after="25" w:line="360" w:lineRule="auto"/>
        <w:rPr>
          <w:rFonts w:ascii="宋体" w:hAnsi="宋体"/>
          <w:sz w:val="24"/>
          <w:lang w:val="zh-CN"/>
        </w:rPr>
      </w:pPr>
      <w:r>
        <w:rPr>
          <w:rFonts w:hint="eastAsia" w:ascii="宋体" w:hAnsi="宋体"/>
          <w:sz w:val="24"/>
          <w:szCs w:val="24"/>
        </w:rPr>
        <w:t>供应商</w:t>
      </w:r>
      <w:r>
        <w:rPr>
          <w:rFonts w:hint="eastAsia" w:ascii="宋体" w:hAnsi="宋体"/>
          <w:sz w:val="24"/>
          <w:lang w:val="zh-CN"/>
        </w:rPr>
        <w:t>代表（签字）：</w:t>
      </w:r>
      <w:r>
        <w:rPr>
          <w:rFonts w:ascii="宋体" w:hAnsi="宋体"/>
          <w:sz w:val="24"/>
        </w:rPr>
        <w:t>___</w:t>
      </w:r>
      <w:r>
        <w:rPr>
          <w:rFonts w:hint="eastAsia" w:ascii="宋体" w:hAnsi="宋体"/>
          <w:sz w:val="24"/>
          <w:u w:val="single"/>
        </w:rPr>
        <w:t xml:space="preserve">              </w:t>
      </w:r>
      <w:r>
        <w:rPr>
          <w:rFonts w:ascii="宋体" w:hAnsi="宋体"/>
          <w:sz w:val="24"/>
        </w:rPr>
        <w:t>__</w:t>
      </w:r>
      <w:r>
        <w:rPr>
          <w:rFonts w:hint="eastAsia" w:ascii="宋体" w:hAnsi="宋体"/>
          <w:sz w:val="24"/>
          <w:lang w:val="zh-CN"/>
        </w:rPr>
        <w:t xml:space="preserve">                          </w:t>
      </w:r>
    </w:p>
    <w:p>
      <w:pPr>
        <w:autoSpaceDE w:val="0"/>
        <w:autoSpaceDN w:val="0"/>
        <w:adjustRightInd w:val="0"/>
        <w:snapToGrid w:val="0"/>
        <w:spacing w:before="25" w:after="25" w:line="360" w:lineRule="auto"/>
        <w:rPr>
          <w:rFonts w:ascii="宋体" w:hAnsi="宋体"/>
          <w:sz w:val="24"/>
          <w:lang w:val="zh-CN"/>
        </w:rPr>
      </w:pPr>
      <w:r>
        <w:rPr>
          <w:rFonts w:hint="eastAsia" w:ascii="宋体" w:hAnsi="宋体"/>
          <w:sz w:val="24"/>
        </w:rPr>
        <w:t>供应商名称(盖章)：</w:t>
      </w:r>
      <w:r>
        <w:rPr>
          <w:rFonts w:ascii="宋体" w:hAnsi="宋体"/>
          <w:sz w:val="24"/>
        </w:rPr>
        <w:t>___</w:t>
      </w:r>
      <w:r>
        <w:rPr>
          <w:rFonts w:hint="eastAsia" w:ascii="宋体" w:hAnsi="宋体"/>
          <w:sz w:val="24"/>
          <w:u w:val="single"/>
        </w:rPr>
        <w:t xml:space="preserve">              </w:t>
      </w:r>
      <w:r>
        <w:rPr>
          <w:rFonts w:ascii="宋体" w:hAnsi="宋体"/>
          <w:sz w:val="24"/>
        </w:rPr>
        <w:t>__</w:t>
      </w:r>
      <w:r>
        <w:rPr>
          <w:rFonts w:hint="eastAsia" w:ascii="宋体" w:hAnsi="宋体"/>
          <w:sz w:val="24"/>
          <w:lang w:val="zh-CN"/>
        </w:rPr>
        <w:t xml:space="preserve">    </w:t>
      </w:r>
    </w:p>
    <w:p>
      <w:pPr>
        <w:tabs>
          <w:tab w:val="left" w:pos="5580"/>
        </w:tabs>
        <w:spacing w:before="120" w:line="360" w:lineRule="auto"/>
        <w:rPr>
          <w:rFonts w:ascii="宋体" w:hAnsi="宋体"/>
        </w:rPr>
      </w:pPr>
      <w:r>
        <w:rPr>
          <w:rFonts w:hint="eastAsia" w:ascii="宋体" w:hAnsi="宋体"/>
          <w:sz w:val="24"/>
        </w:rPr>
        <w:t>日期：</w:t>
      </w:r>
      <w:r>
        <w:rPr>
          <w:rFonts w:ascii="宋体" w:hAnsi="宋体"/>
          <w:sz w:val="24"/>
        </w:rPr>
        <w:t>___</w:t>
      </w:r>
      <w:r>
        <w:rPr>
          <w:rFonts w:hint="eastAsia" w:ascii="宋体" w:hAnsi="宋体"/>
          <w:sz w:val="24"/>
          <w:u w:val="single"/>
        </w:rPr>
        <w:t xml:space="preserve">              </w:t>
      </w:r>
      <w:r>
        <w:rPr>
          <w:rFonts w:ascii="宋体" w:hAnsi="宋体"/>
          <w:sz w:val="24"/>
        </w:rPr>
        <w:t>__</w:t>
      </w:r>
    </w:p>
    <w:p>
      <w:pPr>
        <w:pStyle w:val="4"/>
        <w:rPr>
          <w:rFonts w:ascii="宋体" w:hAnsi="宋体"/>
        </w:rPr>
      </w:pPr>
      <w:bookmarkStart w:id="125" w:name="_Toc72315793"/>
      <w:bookmarkStart w:id="126" w:name="_Toc146043920"/>
      <w:r>
        <w:rPr>
          <w:rFonts w:ascii="宋体" w:hAnsi="宋体"/>
        </w:rPr>
        <w:t>7.</w:t>
      </w:r>
      <w:r>
        <w:rPr>
          <w:rFonts w:hint="eastAsia" w:ascii="宋体" w:hAnsi="宋体"/>
        </w:rPr>
        <w:t>供应商企业类型声明函</w:t>
      </w:r>
      <w:bookmarkEnd w:id="125"/>
      <w:bookmarkEnd w:id="126"/>
    </w:p>
    <w:p>
      <w:pPr>
        <w:pStyle w:val="7"/>
        <w:spacing w:line="360" w:lineRule="auto"/>
        <w:ind w:firstLine="0"/>
        <w:rPr>
          <w:rFonts w:ascii="宋体" w:hAnsi="宋体"/>
        </w:rPr>
      </w:pPr>
      <w:r>
        <w:rPr>
          <w:rFonts w:hint="eastAsia" w:ascii="宋体" w:hAnsi="宋体"/>
        </w:rPr>
        <w:t>说明：</w:t>
      </w:r>
    </w:p>
    <w:p>
      <w:pPr>
        <w:tabs>
          <w:tab w:val="left" w:pos="5580"/>
        </w:tabs>
        <w:spacing w:line="360" w:lineRule="auto"/>
        <w:ind w:firstLine="424" w:firstLineChars="202"/>
        <w:rPr>
          <w:rFonts w:ascii="宋体" w:hAnsi="宋体"/>
        </w:rPr>
      </w:pPr>
      <w:r>
        <w:rPr>
          <w:rFonts w:hint="eastAsia" w:ascii="宋体" w:hAnsi="宋体"/>
        </w:rPr>
        <w:t>（</w:t>
      </w:r>
      <w:r>
        <w:rPr>
          <w:rFonts w:ascii="宋体" w:hAnsi="宋体"/>
        </w:rPr>
        <w:t>1</w:t>
      </w:r>
      <w:r>
        <w:rPr>
          <w:rFonts w:hint="eastAsia" w:ascii="宋体" w:hAnsi="宋体"/>
        </w:rPr>
        <w:t>）中小企业参加政府采购活动，应当出具此格式文件。《中小企业声明函》由参加政府采购活动的投标人出具。联合体投标的，《中小企业声明函》由牵头人出具。</w:t>
      </w:r>
    </w:p>
    <w:p>
      <w:pPr>
        <w:tabs>
          <w:tab w:val="left" w:pos="5580"/>
        </w:tabs>
        <w:spacing w:line="360" w:lineRule="auto"/>
        <w:ind w:firstLine="424" w:firstLineChars="202"/>
        <w:rPr>
          <w:rFonts w:ascii="宋体" w:hAnsi="宋体"/>
        </w:rPr>
      </w:pPr>
      <w:r>
        <w:rPr>
          <w:rFonts w:hint="eastAsia" w:ascii="宋体" w:hAnsi="宋体"/>
        </w:rPr>
        <w:t>（</w:t>
      </w:r>
      <w:r>
        <w:rPr>
          <w:rFonts w:ascii="宋体" w:hAnsi="宋体"/>
        </w:rPr>
        <w:t>2</w:t>
      </w:r>
      <w:r>
        <w:rPr>
          <w:rFonts w:hint="eastAsia" w:ascii="宋体" w:hAnsi="宋体"/>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ind w:firstLine="424" w:firstLineChars="202"/>
        <w:rPr>
          <w:rFonts w:ascii="宋体" w:hAnsi="宋体"/>
        </w:rPr>
      </w:pPr>
      <w:r>
        <w:rPr>
          <w:rFonts w:hint="eastAsia" w:ascii="宋体" w:hAnsi="宋体"/>
        </w:rPr>
        <w:t>（</w:t>
      </w:r>
      <w:r>
        <w:rPr>
          <w:rFonts w:ascii="宋体" w:hAnsi="宋体"/>
        </w:rPr>
        <w:t>3</w:t>
      </w:r>
      <w:r>
        <w:rPr>
          <w:rFonts w:hint="eastAsia" w:ascii="宋体" w:hAnsi="宋体"/>
        </w:rPr>
        <w:t>）对于多标的的采购项目，投标人应充分、准确地了解所投产品制造企业信息。对相关情况了解不清楚的，不建议填报本声明函。</w:t>
      </w:r>
    </w:p>
    <w:p>
      <w:pPr>
        <w:tabs>
          <w:tab w:val="left" w:pos="5580"/>
        </w:tabs>
        <w:spacing w:line="360" w:lineRule="auto"/>
        <w:ind w:firstLine="424" w:firstLineChars="202"/>
        <w:rPr>
          <w:rFonts w:ascii="宋体" w:hAnsi="宋体"/>
        </w:rPr>
      </w:pPr>
      <w:r>
        <w:rPr>
          <w:rFonts w:hint="eastAsia" w:ascii="宋体" w:hAnsi="宋体"/>
        </w:rPr>
        <w:t>（</w:t>
      </w:r>
      <w:r>
        <w:rPr>
          <w:rFonts w:ascii="宋体" w:hAnsi="宋体"/>
        </w:rPr>
        <w:t>4</w:t>
      </w:r>
      <w:r>
        <w:rPr>
          <w:rFonts w:hint="eastAsia" w:ascii="宋体" w:hAnsi="宋体"/>
        </w:rPr>
        <w:t>）本项目采购标的所属行业详见第五章评分办法及评分标准。</w:t>
      </w:r>
    </w:p>
    <w:p>
      <w:pPr>
        <w:tabs>
          <w:tab w:val="left" w:pos="5580"/>
        </w:tabs>
        <w:spacing w:line="360" w:lineRule="auto"/>
        <w:ind w:firstLine="424" w:firstLineChars="202"/>
        <w:rPr>
          <w:rFonts w:ascii="宋体" w:hAnsi="宋体"/>
        </w:rPr>
      </w:pPr>
      <w:r>
        <w:rPr>
          <w:rFonts w:hint="eastAsia" w:ascii="宋体" w:hAnsi="宋体"/>
        </w:rPr>
        <w:t>（</w:t>
      </w:r>
      <w:r>
        <w:rPr>
          <w:rFonts w:ascii="宋体" w:hAnsi="宋体"/>
        </w:rPr>
        <w:t>5</w:t>
      </w:r>
      <w:r>
        <w:rPr>
          <w:rFonts w:hint="eastAsia" w:ascii="宋体" w:hAnsi="宋体"/>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pPr>
        <w:widowControl/>
        <w:jc w:val="left"/>
        <w:rPr>
          <w:rFonts w:ascii="宋体" w:hAnsi="宋体"/>
          <w:sz w:val="24"/>
          <w:szCs w:val="24"/>
        </w:rPr>
      </w:pPr>
    </w:p>
    <w:p>
      <w:pPr>
        <w:widowControl/>
        <w:jc w:val="left"/>
        <w:rPr>
          <w:rFonts w:ascii="宋体" w:hAnsi="宋体"/>
          <w:sz w:val="24"/>
          <w:szCs w:val="24"/>
        </w:rPr>
      </w:pPr>
      <w:r>
        <w:rPr>
          <w:rFonts w:ascii="宋体" w:hAnsi="宋体"/>
          <w:sz w:val="24"/>
          <w:szCs w:val="24"/>
        </w:rPr>
        <w:br w:type="page"/>
      </w:r>
    </w:p>
    <w:p>
      <w:pPr>
        <w:spacing w:line="360" w:lineRule="auto"/>
        <w:rPr>
          <w:rFonts w:ascii="宋体" w:hAnsi="宋体"/>
          <w:sz w:val="24"/>
          <w:szCs w:val="24"/>
        </w:rPr>
      </w:pPr>
    </w:p>
    <w:p>
      <w:pPr>
        <w:autoSpaceDE w:val="0"/>
        <w:autoSpaceDN w:val="0"/>
        <w:adjustRightInd w:val="0"/>
        <w:spacing w:line="360" w:lineRule="auto"/>
        <w:jc w:val="center"/>
        <w:rPr>
          <w:rFonts w:ascii="宋体" w:hAnsi="宋体" w:cs="宋体"/>
          <w:b/>
          <w:bCs/>
          <w:kern w:val="0"/>
          <w:sz w:val="30"/>
          <w:szCs w:val="30"/>
        </w:rPr>
      </w:pPr>
      <w:bookmarkStart w:id="127" w:name="_Hlk81559833"/>
      <w:bookmarkStart w:id="128" w:name="OLE_LINK14"/>
      <w:bookmarkStart w:id="129" w:name="OLE_LINK13"/>
      <w:r>
        <w:rPr>
          <w:rFonts w:hint="eastAsia" w:ascii="宋体" w:hAnsi="宋体" w:cs="宋体"/>
          <w:b/>
          <w:bCs/>
          <w:kern w:val="0"/>
          <w:sz w:val="30"/>
          <w:szCs w:val="30"/>
        </w:rPr>
        <w:t>中小企业声明函（服务）</w:t>
      </w:r>
    </w:p>
    <w:p>
      <w:pPr>
        <w:autoSpaceDE w:val="0"/>
        <w:autoSpaceDN w:val="0"/>
        <w:adjustRightInd w:val="0"/>
        <w:spacing w:line="360" w:lineRule="auto"/>
        <w:ind w:firstLine="424" w:firstLineChars="177"/>
        <w:jc w:val="left"/>
        <w:rPr>
          <w:rFonts w:ascii="宋体" w:hAnsi="宋体" w:cs="仿宋"/>
          <w:kern w:val="0"/>
          <w:sz w:val="24"/>
          <w:szCs w:val="24"/>
        </w:rPr>
      </w:pPr>
      <w:r>
        <w:rPr>
          <w:rFonts w:hint="eastAsia" w:ascii="宋体" w:hAnsi="宋体" w:cs="仿宋"/>
          <w:kern w:val="0"/>
          <w:sz w:val="24"/>
          <w:szCs w:val="24"/>
        </w:rPr>
        <w:t>本公司（联合体）郑重声明，根据《政府采购促进中小企业发展管理办法》（财库</w:t>
      </w:r>
      <w:r>
        <w:rPr>
          <w:rFonts w:hint="eastAsia" w:ascii="宋体" w:hAnsi="宋体" w:cs="宋体"/>
          <w:kern w:val="0"/>
          <w:sz w:val="24"/>
          <w:szCs w:val="24"/>
        </w:rPr>
        <w:t>﹝</w:t>
      </w:r>
      <w:r>
        <w:rPr>
          <w:rFonts w:ascii="宋体" w:hAnsi="宋体" w:cs="仿宋"/>
          <w:kern w:val="0"/>
          <w:sz w:val="24"/>
          <w:szCs w:val="24"/>
        </w:rPr>
        <w:t>2020</w:t>
      </w:r>
      <w:r>
        <w:rPr>
          <w:rFonts w:hint="eastAsia" w:ascii="宋体" w:hAnsi="宋体" w:cs="宋体"/>
          <w:kern w:val="0"/>
          <w:sz w:val="24"/>
          <w:szCs w:val="24"/>
        </w:rPr>
        <w:t>﹞</w:t>
      </w:r>
      <w:r>
        <w:rPr>
          <w:rFonts w:ascii="宋体" w:hAnsi="宋体" w:cs="仿宋"/>
          <w:kern w:val="0"/>
          <w:sz w:val="24"/>
          <w:szCs w:val="24"/>
        </w:rPr>
        <w:t xml:space="preserve">46 </w:t>
      </w:r>
      <w:r>
        <w:rPr>
          <w:rFonts w:hint="eastAsia" w:ascii="宋体" w:hAnsi="宋体" w:cs="仿宋"/>
          <w:kern w:val="0"/>
          <w:sz w:val="24"/>
          <w:szCs w:val="24"/>
        </w:rPr>
        <w:t>号）的规定，本公司（联合体）参加</w:t>
      </w:r>
      <w:r>
        <w:rPr>
          <w:rFonts w:hint="eastAsia" w:ascii="宋体" w:hAnsi="宋体" w:cs="仿宋"/>
          <w:i/>
          <w:iCs/>
          <w:kern w:val="0"/>
          <w:sz w:val="24"/>
          <w:szCs w:val="24"/>
          <w:u w:val="single"/>
        </w:rPr>
        <w:t>（采购人单位名称）</w:t>
      </w:r>
      <w:r>
        <w:rPr>
          <w:rFonts w:hint="eastAsia" w:ascii="宋体" w:hAnsi="宋体" w:cs="仿宋"/>
          <w:kern w:val="0"/>
          <w:sz w:val="24"/>
          <w:szCs w:val="24"/>
        </w:rPr>
        <w:t>的</w:t>
      </w:r>
      <w:r>
        <w:rPr>
          <w:rFonts w:hint="eastAsia" w:ascii="宋体" w:hAnsi="宋体" w:cs="仿宋"/>
          <w:i/>
          <w:iCs/>
          <w:kern w:val="0"/>
          <w:sz w:val="24"/>
          <w:szCs w:val="24"/>
          <w:u w:val="single"/>
        </w:rPr>
        <w:t>（项目名称）</w:t>
      </w:r>
      <w:r>
        <w:rPr>
          <w:rFonts w:hint="eastAsia" w:ascii="宋体" w:hAnsi="宋体" w:cs="仿宋"/>
          <w:kern w:val="0"/>
          <w:sz w:val="24"/>
          <w:szCs w:val="24"/>
        </w:rPr>
        <w:t>采购活动，服务全部由符合政策要求的中小企业承接。相关企业（含联合体中的中小企业、签订分包意向协议的中小企业）的具体情况如下：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24" w:firstLineChars="177"/>
        <w:jc w:val="left"/>
        <w:rPr>
          <w:rFonts w:ascii="宋体" w:hAnsi="宋体" w:cs="仿宋"/>
          <w:kern w:val="0"/>
          <w:sz w:val="24"/>
          <w:szCs w:val="24"/>
        </w:rPr>
      </w:pPr>
      <w:r>
        <w:rPr>
          <w:rFonts w:ascii="宋体" w:hAnsi="宋体" w:cs="仿宋"/>
          <w:kern w:val="0"/>
          <w:sz w:val="24"/>
          <w:szCs w:val="24"/>
        </w:rPr>
        <w:t>1.</w:t>
      </w:r>
      <w:r>
        <w:rPr>
          <w:rFonts w:ascii="宋体" w:hAnsi="宋体" w:cs="仿宋"/>
          <w:kern w:val="0"/>
          <w:sz w:val="24"/>
          <w:szCs w:val="24"/>
          <w:u w:val="single"/>
        </w:rPr>
        <w:t xml:space="preserve"> </w:t>
      </w:r>
      <w:r>
        <w:rPr>
          <w:rFonts w:hint="eastAsia" w:ascii="宋体" w:hAnsi="宋体" w:cs="仿宋"/>
          <w:i/>
          <w:iCs/>
          <w:kern w:val="0"/>
          <w:sz w:val="24"/>
          <w:szCs w:val="24"/>
          <w:u w:val="single"/>
        </w:rPr>
        <w:t>（标的名称）</w:t>
      </w:r>
      <w:r>
        <w:rPr>
          <w:rFonts w:ascii="宋体" w:hAnsi="宋体" w:cs="仿宋"/>
          <w:kern w:val="0"/>
          <w:sz w:val="24"/>
          <w:szCs w:val="24"/>
          <w:u w:val="single"/>
        </w:rPr>
        <w:t xml:space="preserve"> </w:t>
      </w:r>
      <w:r>
        <w:rPr>
          <w:rFonts w:hint="eastAsia" w:ascii="宋体" w:hAnsi="宋体" w:cs="仿宋"/>
          <w:kern w:val="0"/>
          <w:sz w:val="24"/>
          <w:szCs w:val="24"/>
        </w:rPr>
        <w:t>，属于</w:t>
      </w:r>
      <w:r>
        <w:rPr>
          <w:rFonts w:hint="eastAsia" w:ascii="宋体" w:hAnsi="宋体" w:cs="仿宋"/>
          <w:i/>
          <w:iCs/>
          <w:kern w:val="0"/>
          <w:sz w:val="24"/>
          <w:szCs w:val="24"/>
          <w:u w:val="single"/>
        </w:rPr>
        <w:t>（采购文件中明确的所属行业）</w:t>
      </w:r>
      <w:r>
        <w:rPr>
          <w:rFonts w:hint="eastAsia" w:ascii="宋体" w:hAnsi="宋体" w:cs="仿宋"/>
          <w:kern w:val="0"/>
          <w:sz w:val="24"/>
          <w:szCs w:val="24"/>
        </w:rPr>
        <w:t>；承接企业为</w:t>
      </w:r>
      <w:r>
        <w:rPr>
          <w:rFonts w:hint="eastAsia" w:ascii="宋体" w:hAnsi="宋体" w:cs="仿宋"/>
          <w:i/>
          <w:iCs/>
          <w:kern w:val="0"/>
          <w:sz w:val="24"/>
          <w:szCs w:val="24"/>
          <w:u w:val="single"/>
        </w:rPr>
        <w:t>（企业名称）</w:t>
      </w:r>
      <w:r>
        <w:rPr>
          <w:rFonts w:hint="eastAsia" w:ascii="宋体" w:hAnsi="宋体" w:cs="仿宋"/>
          <w:kern w:val="0"/>
          <w:sz w:val="24"/>
          <w:szCs w:val="24"/>
        </w:rPr>
        <w:t>，从业人员</w:t>
      </w:r>
      <w:r>
        <w:rPr>
          <w:rFonts w:hint="eastAsia" w:ascii="宋体" w:hAnsi="宋体" w:cs="仿宋"/>
          <w:kern w:val="0"/>
          <w:sz w:val="24"/>
          <w:szCs w:val="24"/>
          <w:u w:val="single"/>
        </w:rPr>
        <w:t xml:space="preserve"> </w:t>
      </w:r>
      <w:r>
        <w:rPr>
          <w:rFonts w:ascii="宋体" w:hAnsi="宋体" w:cs="仿宋"/>
          <w:kern w:val="0"/>
          <w:sz w:val="24"/>
          <w:szCs w:val="24"/>
          <w:u w:val="single"/>
        </w:rPr>
        <w:t xml:space="preserve">  </w:t>
      </w:r>
      <w:r>
        <w:rPr>
          <w:rFonts w:hint="eastAsia" w:ascii="宋体" w:hAnsi="宋体" w:cs="仿宋"/>
          <w:kern w:val="0"/>
          <w:sz w:val="24"/>
          <w:szCs w:val="24"/>
        </w:rPr>
        <w:t>人，营业收入为</w:t>
      </w:r>
      <w:r>
        <w:rPr>
          <w:rFonts w:hint="eastAsia" w:ascii="宋体" w:hAnsi="宋体" w:cs="仿宋"/>
          <w:kern w:val="0"/>
          <w:sz w:val="24"/>
          <w:szCs w:val="24"/>
          <w:u w:val="single"/>
        </w:rPr>
        <w:t xml:space="preserve"> </w:t>
      </w:r>
      <w:r>
        <w:rPr>
          <w:rFonts w:ascii="宋体" w:hAnsi="宋体" w:cs="仿宋"/>
          <w:kern w:val="0"/>
          <w:sz w:val="24"/>
          <w:szCs w:val="24"/>
          <w:u w:val="single"/>
        </w:rPr>
        <w:t xml:space="preserve">    </w:t>
      </w:r>
      <w:r>
        <w:rPr>
          <w:rFonts w:hint="eastAsia" w:ascii="宋体" w:hAnsi="宋体" w:cs="仿宋"/>
          <w:kern w:val="0"/>
          <w:sz w:val="24"/>
          <w:szCs w:val="24"/>
        </w:rPr>
        <w:t>万元，资产总额为</w:t>
      </w:r>
      <w:r>
        <w:rPr>
          <w:rFonts w:hint="eastAsia" w:ascii="宋体" w:hAnsi="宋体" w:cs="仿宋"/>
          <w:kern w:val="0"/>
          <w:sz w:val="24"/>
          <w:szCs w:val="24"/>
          <w:u w:val="single"/>
        </w:rPr>
        <w:t xml:space="preserve"> </w:t>
      </w:r>
      <w:r>
        <w:rPr>
          <w:rFonts w:ascii="宋体" w:hAnsi="宋体" w:cs="仿宋"/>
          <w:kern w:val="0"/>
          <w:sz w:val="24"/>
          <w:szCs w:val="24"/>
          <w:u w:val="single"/>
        </w:rPr>
        <w:t xml:space="preserve">   </w:t>
      </w:r>
      <w:r>
        <w:rPr>
          <w:rFonts w:hint="eastAsia" w:ascii="宋体" w:hAnsi="宋体" w:cs="仿宋"/>
          <w:kern w:val="0"/>
          <w:sz w:val="24"/>
          <w:szCs w:val="24"/>
        </w:rPr>
        <w:t>万元</w:t>
      </w:r>
      <w:r>
        <w:rPr>
          <w:rFonts w:ascii="宋体" w:hAnsi="宋体" w:cs="仿宋"/>
          <w:kern w:val="0"/>
          <w:sz w:val="24"/>
          <w:szCs w:val="24"/>
          <w:vertAlign w:val="superscript"/>
        </w:rPr>
        <w:t>1</w:t>
      </w:r>
      <w:r>
        <w:rPr>
          <w:rFonts w:hint="eastAsia" w:ascii="宋体" w:hAnsi="宋体" w:cs="仿宋"/>
          <w:kern w:val="0"/>
          <w:sz w:val="24"/>
          <w:szCs w:val="24"/>
        </w:rPr>
        <w:t>，属于</w:t>
      </w:r>
      <w:r>
        <w:rPr>
          <w:rFonts w:hint="eastAsia" w:ascii="宋体" w:hAnsi="宋体" w:cs="仿宋"/>
          <w:i/>
          <w:iCs/>
          <w:kern w:val="0"/>
          <w:sz w:val="24"/>
          <w:szCs w:val="24"/>
          <w:u w:val="single"/>
        </w:rPr>
        <w:t>（中型企业、小型企业、微型企业）</w:t>
      </w:r>
      <w:r>
        <w:rPr>
          <w:rFonts w:hint="eastAsia" w:ascii="宋体" w:hAnsi="宋体" w:cs="仿宋"/>
          <w:kern w:val="0"/>
          <w:sz w:val="24"/>
          <w:szCs w:val="24"/>
        </w:rPr>
        <w:t>；</w:t>
      </w:r>
    </w:p>
    <w:p>
      <w:pPr>
        <w:autoSpaceDE w:val="0"/>
        <w:autoSpaceDN w:val="0"/>
        <w:adjustRightInd w:val="0"/>
        <w:spacing w:line="360" w:lineRule="auto"/>
        <w:ind w:firstLine="424" w:firstLineChars="177"/>
        <w:jc w:val="left"/>
        <w:rPr>
          <w:rFonts w:ascii="宋体" w:hAnsi="宋体" w:cs="仿宋"/>
          <w:kern w:val="0"/>
          <w:sz w:val="24"/>
          <w:szCs w:val="24"/>
        </w:rPr>
      </w:pPr>
      <w:r>
        <w:rPr>
          <w:rFonts w:ascii="宋体" w:hAnsi="宋体" w:cs="仿宋"/>
          <w:kern w:val="0"/>
          <w:sz w:val="24"/>
          <w:szCs w:val="24"/>
        </w:rPr>
        <w:t>2.</w:t>
      </w:r>
      <w:r>
        <w:rPr>
          <w:rFonts w:ascii="宋体" w:hAnsi="宋体" w:cs="仿宋"/>
          <w:kern w:val="0"/>
          <w:sz w:val="24"/>
          <w:szCs w:val="24"/>
          <w:u w:val="single"/>
        </w:rPr>
        <w:t xml:space="preserve"> </w:t>
      </w:r>
      <w:r>
        <w:rPr>
          <w:rFonts w:hint="eastAsia" w:ascii="宋体" w:hAnsi="宋体" w:cs="仿宋"/>
          <w:i/>
          <w:iCs/>
          <w:kern w:val="0"/>
          <w:sz w:val="24"/>
          <w:szCs w:val="24"/>
          <w:u w:val="single"/>
        </w:rPr>
        <w:t>（标的名称）</w:t>
      </w:r>
      <w:r>
        <w:rPr>
          <w:rFonts w:ascii="宋体" w:hAnsi="宋体" w:cs="仿宋"/>
          <w:i/>
          <w:iCs/>
          <w:kern w:val="0"/>
          <w:sz w:val="24"/>
          <w:szCs w:val="24"/>
          <w:u w:val="single"/>
        </w:rPr>
        <w:t xml:space="preserve"> </w:t>
      </w:r>
      <w:r>
        <w:rPr>
          <w:rFonts w:hint="eastAsia" w:ascii="宋体" w:hAnsi="宋体" w:cs="仿宋"/>
          <w:kern w:val="0"/>
          <w:sz w:val="24"/>
          <w:szCs w:val="24"/>
        </w:rPr>
        <w:t>，属于</w:t>
      </w:r>
      <w:r>
        <w:rPr>
          <w:rFonts w:hint="eastAsia" w:ascii="宋体" w:hAnsi="宋体" w:cs="仿宋"/>
          <w:i/>
          <w:iCs/>
          <w:kern w:val="0"/>
          <w:sz w:val="24"/>
          <w:szCs w:val="24"/>
          <w:u w:val="single"/>
        </w:rPr>
        <w:t>（采购文件中明确的所属行业）</w:t>
      </w:r>
      <w:r>
        <w:rPr>
          <w:rFonts w:hint="eastAsia" w:ascii="宋体" w:hAnsi="宋体" w:cs="仿宋"/>
          <w:kern w:val="0"/>
          <w:sz w:val="24"/>
          <w:szCs w:val="24"/>
        </w:rPr>
        <w:t>；承接企业为</w:t>
      </w:r>
      <w:r>
        <w:rPr>
          <w:rFonts w:hint="eastAsia" w:ascii="宋体" w:hAnsi="宋体" w:cs="仿宋"/>
          <w:i/>
          <w:iCs/>
          <w:kern w:val="0"/>
          <w:sz w:val="24"/>
          <w:szCs w:val="24"/>
          <w:u w:val="single"/>
        </w:rPr>
        <w:t>（企业名称）</w:t>
      </w:r>
      <w:r>
        <w:rPr>
          <w:rFonts w:hint="eastAsia" w:ascii="宋体" w:hAnsi="宋体" w:cs="仿宋"/>
          <w:kern w:val="0"/>
          <w:sz w:val="24"/>
          <w:szCs w:val="24"/>
        </w:rPr>
        <w:t>，从业人员</w:t>
      </w:r>
      <w:r>
        <w:rPr>
          <w:rFonts w:hint="eastAsia" w:ascii="宋体" w:hAnsi="宋体" w:cs="仿宋"/>
          <w:kern w:val="0"/>
          <w:sz w:val="24"/>
          <w:szCs w:val="24"/>
          <w:u w:val="single"/>
        </w:rPr>
        <w:t xml:space="preserve"> </w:t>
      </w:r>
      <w:r>
        <w:rPr>
          <w:rFonts w:ascii="宋体" w:hAnsi="宋体" w:cs="仿宋"/>
          <w:kern w:val="0"/>
          <w:sz w:val="24"/>
          <w:szCs w:val="24"/>
          <w:u w:val="single"/>
        </w:rPr>
        <w:t xml:space="preserve">  </w:t>
      </w:r>
      <w:r>
        <w:rPr>
          <w:rFonts w:hint="eastAsia" w:ascii="宋体" w:hAnsi="宋体" w:cs="仿宋"/>
          <w:kern w:val="0"/>
          <w:sz w:val="24"/>
          <w:szCs w:val="24"/>
        </w:rPr>
        <w:t>人，营业收入为</w:t>
      </w:r>
      <w:r>
        <w:rPr>
          <w:rFonts w:hint="eastAsia" w:ascii="宋体" w:hAnsi="宋体" w:cs="仿宋"/>
          <w:kern w:val="0"/>
          <w:sz w:val="24"/>
          <w:szCs w:val="24"/>
          <w:u w:val="single"/>
        </w:rPr>
        <w:t xml:space="preserve"> </w:t>
      </w:r>
      <w:r>
        <w:rPr>
          <w:rFonts w:ascii="宋体" w:hAnsi="宋体" w:cs="仿宋"/>
          <w:kern w:val="0"/>
          <w:sz w:val="24"/>
          <w:szCs w:val="24"/>
          <w:u w:val="single"/>
        </w:rPr>
        <w:t xml:space="preserve">  </w:t>
      </w:r>
      <w:r>
        <w:rPr>
          <w:rFonts w:hint="eastAsia" w:ascii="宋体" w:hAnsi="宋体" w:cs="仿宋"/>
          <w:kern w:val="0"/>
          <w:sz w:val="24"/>
          <w:szCs w:val="24"/>
        </w:rPr>
        <w:t>万元，资产总额为</w:t>
      </w:r>
      <w:r>
        <w:rPr>
          <w:rFonts w:hint="eastAsia" w:ascii="宋体" w:hAnsi="宋体" w:cs="仿宋"/>
          <w:kern w:val="0"/>
          <w:sz w:val="24"/>
          <w:szCs w:val="24"/>
          <w:u w:val="single"/>
        </w:rPr>
        <w:t xml:space="preserve"> </w:t>
      </w:r>
      <w:r>
        <w:rPr>
          <w:rFonts w:ascii="宋体" w:hAnsi="宋体" w:cs="仿宋"/>
          <w:kern w:val="0"/>
          <w:sz w:val="24"/>
          <w:szCs w:val="24"/>
          <w:u w:val="single"/>
        </w:rPr>
        <w:t xml:space="preserve">  </w:t>
      </w:r>
      <w:r>
        <w:rPr>
          <w:rFonts w:hint="eastAsia" w:ascii="宋体" w:hAnsi="宋体" w:cs="仿宋"/>
          <w:kern w:val="0"/>
          <w:sz w:val="24"/>
          <w:szCs w:val="24"/>
        </w:rPr>
        <w:t>万元，属于</w:t>
      </w:r>
      <w:r>
        <w:rPr>
          <w:rFonts w:hint="eastAsia" w:ascii="宋体" w:hAnsi="宋体" w:cs="仿宋"/>
          <w:i/>
          <w:iCs/>
          <w:kern w:val="0"/>
          <w:sz w:val="24"/>
          <w:szCs w:val="24"/>
          <w:u w:val="single"/>
        </w:rPr>
        <w:t>（中型企业、小型企业、微型企业）</w:t>
      </w:r>
      <w:r>
        <w:rPr>
          <w:rFonts w:hint="eastAsia" w:ascii="宋体" w:hAnsi="宋体" w:cs="仿宋"/>
          <w:kern w:val="0"/>
          <w:sz w:val="24"/>
          <w:szCs w:val="24"/>
        </w:rPr>
        <w:t>；</w:t>
      </w:r>
    </w:p>
    <w:p>
      <w:pPr>
        <w:autoSpaceDE w:val="0"/>
        <w:autoSpaceDN w:val="0"/>
        <w:adjustRightInd w:val="0"/>
        <w:spacing w:line="360" w:lineRule="auto"/>
        <w:ind w:firstLine="424" w:firstLineChars="177"/>
        <w:jc w:val="left"/>
        <w:rPr>
          <w:rFonts w:ascii="宋体" w:hAnsi="宋体" w:cs="仿宋"/>
          <w:kern w:val="0"/>
          <w:sz w:val="24"/>
          <w:szCs w:val="24"/>
        </w:rPr>
      </w:pPr>
      <w:r>
        <w:rPr>
          <w:rFonts w:hint="eastAsia" w:ascii="宋体" w:hAnsi="宋体" w:cs="仿宋"/>
          <w:kern w:val="0"/>
          <w:sz w:val="24"/>
          <w:szCs w:val="24"/>
        </w:rPr>
        <w:t>……</w:t>
      </w:r>
    </w:p>
    <w:p>
      <w:pPr>
        <w:autoSpaceDE w:val="0"/>
        <w:autoSpaceDN w:val="0"/>
        <w:adjustRightInd w:val="0"/>
        <w:spacing w:line="360" w:lineRule="auto"/>
        <w:ind w:firstLine="424" w:firstLineChars="177"/>
        <w:jc w:val="left"/>
        <w:rPr>
          <w:rFonts w:ascii="宋体" w:hAnsi="宋体" w:cs="仿宋"/>
          <w:kern w:val="0"/>
          <w:sz w:val="24"/>
          <w:szCs w:val="24"/>
        </w:rPr>
      </w:pPr>
      <w:r>
        <w:rPr>
          <w:rFonts w:hint="eastAsia" w:ascii="宋体" w:hAnsi="宋体" w:cs="仿宋"/>
          <w:kern w:val="0"/>
          <w:sz w:val="24"/>
          <w:szCs w:val="24"/>
        </w:rPr>
        <w:t>以上企业，不属于大企业的分支机构，不存在控股股东为大企业的情形，也不存在与大企业的负责人为同一人的情形。</w:t>
      </w:r>
    </w:p>
    <w:p>
      <w:pPr>
        <w:autoSpaceDE w:val="0"/>
        <w:autoSpaceDN w:val="0"/>
        <w:adjustRightInd w:val="0"/>
        <w:spacing w:line="360" w:lineRule="auto"/>
        <w:ind w:firstLine="424" w:firstLineChars="177"/>
        <w:jc w:val="left"/>
        <w:rPr>
          <w:rFonts w:ascii="宋体" w:hAnsi="宋体" w:cs="仿宋"/>
          <w:kern w:val="0"/>
          <w:sz w:val="24"/>
          <w:szCs w:val="24"/>
        </w:rPr>
      </w:pPr>
      <w:r>
        <w:rPr>
          <w:rFonts w:hint="eastAsia" w:ascii="宋体" w:hAnsi="宋体" w:cs="仿宋"/>
          <w:kern w:val="0"/>
          <w:sz w:val="24"/>
          <w:szCs w:val="24"/>
        </w:rPr>
        <w:t>本企业对上述声明内容的真实性负责。如有虚假，将依法承担相应责任。</w:t>
      </w:r>
    </w:p>
    <w:p>
      <w:pPr>
        <w:autoSpaceDE w:val="0"/>
        <w:autoSpaceDN w:val="0"/>
        <w:adjustRightInd w:val="0"/>
        <w:spacing w:line="360" w:lineRule="auto"/>
        <w:ind w:firstLine="4677" w:firstLineChars="1949"/>
        <w:jc w:val="left"/>
        <w:rPr>
          <w:rFonts w:ascii="宋体" w:hAnsi="宋体" w:cs="仿宋"/>
          <w:kern w:val="0"/>
          <w:sz w:val="24"/>
          <w:szCs w:val="24"/>
        </w:rPr>
      </w:pPr>
      <w:r>
        <w:rPr>
          <w:rFonts w:hint="eastAsia" w:ascii="宋体" w:hAnsi="宋体" w:cs="仿宋"/>
          <w:kern w:val="0"/>
          <w:sz w:val="24"/>
          <w:szCs w:val="24"/>
        </w:rPr>
        <w:t>企业名称（盖章）：</w:t>
      </w:r>
    </w:p>
    <w:p>
      <w:pPr>
        <w:autoSpaceDE w:val="0"/>
        <w:autoSpaceDN w:val="0"/>
        <w:adjustRightInd w:val="0"/>
        <w:spacing w:line="360" w:lineRule="auto"/>
        <w:ind w:firstLine="4677" w:firstLineChars="1949"/>
        <w:jc w:val="left"/>
        <w:rPr>
          <w:rFonts w:ascii="宋体" w:hAnsi="宋体" w:cs="仿宋"/>
          <w:kern w:val="0"/>
          <w:sz w:val="24"/>
          <w:szCs w:val="24"/>
        </w:rPr>
      </w:pPr>
      <w:r>
        <w:rPr>
          <w:rFonts w:hint="eastAsia" w:ascii="宋体" w:hAnsi="宋体" w:cs="仿宋"/>
          <w:kern w:val="0"/>
          <w:sz w:val="24"/>
          <w:szCs w:val="24"/>
        </w:rPr>
        <w:t>日期：</w:t>
      </w:r>
    </w:p>
    <w:bookmarkEnd w:id="127"/>
    <w:p>
      <w:pPr>
        <w:spacing w:line="360" w:lineRule="auto"/>
        <w:jc w:val="left"/>
        <w:rPr>
          <w:rFonts w:ascii="宋体" w:hAnsi="宋体" w:cs="宋体"/>
          <w:kern w:val="0"/>
          <w:szCs w:val="21"/>
        </w:rPr>
      </w:pPr>
      <w:r>
        <w:rPr>
          <w:rFonts w:hint="eastAsia" w:ascii="宋体" w:hAnsi="宋体" w:cs="仿宋"/>
          <w:kern w:val="0"/>
          <w:szCs w:val="21"/>
        </w:rPr>
        <w:t>注：1</w:t>
      </w:r>
      <w:r>
        <w:rPr>
          <w:rFonts w:ascii="宋体" w:hAnsi="宋体" w:cs="仿宋"/>
          <w:kern w:val="0"/>
          <w:szCs w:val="21"/>
        </w:rPr>
        <w:t>.</w:t>
      </w:r>
      <w:r>
        <w:rPr>
          <w:rFonts w:hint="eastAsia" w:ascii="宋体" w:hAnsi="宋体" w:cs="仿宋"/>
          <w:kern w:val="0"/>
          <w:szCs w:val="21"/>
        </w:rPr>
        <w:t>从业人员、营业收入、资产总额填报上一年度数据，无</w:t>
      </w:r>
      <w:r>
        <w:rPr>
          <w:rFonts w:hint="eastAsia" w:ascii="宋体" w:hAnsi="宋体" w:cs="宋体"/>
          <w:kern w:val="0"/>
          <w:szCs w:val="21"/>
        </w:rPr>
        <w:t>上一年度数据的新成立企业可不填报。</w:t>
      </w:r>
    </w:p>
    <w:p>
      <w:pPr>
        <w:widowControl/>
        <w:jc w:val="left"/>
        <w:rPr>
          <w:rFonts w:ascii="宋体" w:hAnsi="宋体"/>
          <w:spacing w:val="6"/>
          <w:sz w:val="24"/>
        </w:rPr>
      </w:pPr>
      <w:r>
        <w:rPr>
          <w:rFonts w:ascii="宋体" w:hAnsi="宋体"/>
          <w:spacing w:val="6"/>
          <w:sz w:val="24"/>
        </w:rPr>
        <w:br w:type="page"/>
      </w:r>
    </w:p>
    <w:p>
      <w:pPr>
        <w:tabs>
          <w:tab w:val="left" w:pos="5580"/>
        </w:tabs>
        <w:spacing w:line="360" w:lineRule="auto"/>
        <w:ind w:firstLine="424" w:firstLineChars="202"/>
        <w:rPr>
          <w:rFonts w:ascii="宋体" w:hAnsi="宋体"/>
        </w:rPr>
      </w:pPr>
    </w:p>
    <w:p>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中小企业声明函（货物）</w:t>
      </w:r>
    </w:p>
    <w:p>
      <w:pPr>
        <w:autoSpaceDE w:val="0"/>
        <w:autoSpaceDN w:val="0"/>
        <w:adjustRightInd w:val="0"/>
        <w:spacing w:line="360" w:lineRule="auto"/>
        <w:ind w:firstLine="420" w:firstLineChars="200"/>
        <w:rPr>
          <w:rFonts w:ascii="宋体" w:hAnsi="宋体" w:cs="仿宋"/>
        </w:rPr>
      </w:pPr>
      <w:r>
        <w:rPr>
          <w:rFonts w:hint="eastAsia" w:ascii="宋体" w:hAnsi="宋体" w:cs="仿宋"/>
        </w:rPr>
        <w:t>本公司（联合体）郑重声明，根据《政府采购促进中小企业发展管理办法》（财库</w:t>
      </w:r>
      <w:r>
        <w:rPr>
          <w:rFonts w:hint="eastAsia" w:ascii="宋体" w:hAnsi="宋体"/>
        </w:rPr>
        <w:t>﹝</w:t>
      </w:r>
      <w:r>
        <w:rPr>
          <w:rFonts w:ascii="宋体" w:hAnsi="宋体" w:cs="仿宋"/>
        </w:rPr>
        <w:t>2020</w:t>
      </w:r>
      <w:r>
        <w:rPr>
          <w:rFonts w:hint="eastAsia" w:ascii="宋体" w:hAnsi="宋体"/>
        </w:rPr>
        <w:t>﹞</w:t>
      </w:r>
      <w:r>
        <w:rPr>
          <w:rFonts w:ascii="宋体" w:hAnsi="宋体" w:cs="仿宋"/>
        </w:rPr>
        <w:t xml:space="preserve">46 </w:t>
      </w:r>
      <w:r>
        <w:rPr>
          <w:rFonts w:hint="eastAsia" w:ascii="宋体" w:hAnsi="宋体" w:cs="仿宋"/>
        </w:rPr>
        <w:t>号）的规定，本公司（联合体）参加</w:t>
      </w:r>
      <w:r>
        <w:rPr>
          <w:rFonts w:hint="eastAsia" w:ascii="宋体" w:hAnsi="宋体" w:cs="仿宋"/>
          <w:i/>
          <w:iCs/>
          <w:u w:val="single"/>
        </w:rPr>
        <w:t>（采购人单位名称）</w:t>
      </w:r>
      <w:r>
        <w:rPr>
          <w:rFonts w:hint="eastAsia" w:ascii="宋体" w:hAnsi="宋体" w:cs="仿宋"/>
        </w:rPr>
        <w:t>的</w:t>
      </w:r>
      <w:r>
        <w:rPr>
          <w:rFonts w:hint="eastAsia" w:ascii="宋体" w:hAnsi="宋体" w:cs="仿宋"/>
          <w:i/>
          <w:iCs/>
          <w:u w:val="single"/>
        </w:rPr>
        <w:t>（项目名称）</w:t>
      </w:r>
      <w:r>
        <w:rPr>
          <w:rFonts w:hint="eastAsia" w:ascii="宋体" w:hAnsi="宋体" w:cs="仿宋"/>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ind w:firstLine="371" w:firstLineChars="177"/>
        <w:rPr>
          <w:rFonts w:ascii="宋体" w:hAnsi="宋体" w:cs="仿宋"/>
        </w:rPr>
      </w:pPr>
      <w:r>
        <w:rPr>
          <w:rFonts w:ascii="宋体" w:hAnsi="宋体" w:cs="仿宋"/>
        </w:rPr>
        <w:t>1.</w:t>
      </w:r>
      <w:r>
        <w:rPr>
          <w:rFonts w:hint="eastAsia" w:ascii="宋体" w:hAnsi="宋体" w:cs="仿宋"/>
          <w:i/>
          <w:iCs/>
          <w:u w:val="single"/>
        </w:rPr>
        <w:t>（标的名称）</w:t>
      </w:r>
      <w:r>
        <w:rPr>
          <w:rFonts w:hint="eastAsia" w:ascii="宋体" w:hAnsi="宋体" w:cs="仿宋"/>
        </w:rPr>
        <w:t>，属于</w:t>
      </w:r>
      <w:r>
        <w:rPr>
          <w:rFonts w:hint="eastAsia" w:ascii="宋体" w:hAnsi="宋体" w:cs="仿宋"/>
          <w:i/>
          <w:iCs/>
          <w:u w:val="single"/>
        </w:rPr>
        <w:t>（采购文件中明确的所属行业）</w:t>
      </w:r>
      <w:r>
        <w:rPr>
          <w:rFonts w:hint="eastAsia" w:ascii="宋体" w:hAnsi="宋体" w:cs="仿宋"/>
          <w:u w:val="single"/>
        </w:rPr>
        <w:t>行业</w:t>
      </w:r>
      <w:r>
        <w:rPr>
          <w:rFonts w:hint="eastAsia" w:ascii="宋体" w:hAnsi="宋体" w:cs="仿宋"/>
        </w:rPr>
        <w:t>；制造商为</w:t>
      </w:r>
      <w:r>
        <w:rPr>
          <w:rFonts w:hint="eastAsia" w:ascii="宋体" w:hAnsi="宋体" w:cs="仿宋"/>
          <w:i/>
          <w:iCs/>
          <w:u w:val="single"/>
        </w:rPr>
        <w:t>（企业名称）</w:t>
      </w:r>
      <w:r>
        <w:rPr>
          <w:rFonts w:hint="eastAsia" w:ascii="宋体" w:hAnsi="宋体" w:cs="仿宋"/>
        </w:rPr>
        <w:t>，从业人员人，营业收入为万元，资产总额为万元</w:t>
      </w:r>
      <w:r>
        <w:rPr>
          <w:rFonts w:ascii="宋体" w:hAnsi="宋体" w:cs="仿宋"/>
          <w:vertAlign w:val="superscript"/>
        </w:rPr>
        <w:t>1</w:t>
      </w:r>
      <w:r>
        <w:rPr>
          <w:rFonts w:hint="eastAsia" w:ascii="宋体" w:hAnsi="宋体" w:cs="仿宋"/>
        </w:rPr>
        <w:t>，属于</w:t>
      </w:r>
      <w:r>
        <w:rPr>
          <w:rFonts w:hint="eastAsia" w:ascii="宋体" w:hAnsi="宋体" w:cs="仿宋"/>
          <w:i/>
          <w:iCs/>
          <w:u w:val="single"/>
        </w:rPr>
        <w:t>（中型企业、小型企业、微型企业）</w:t>
      </w:r>
      <w:r>
        <w:rPr>
          <w:rFonts w:hint="eastAsia" w:ascii="宋体" w:hAnsi="宋体" w:cs="仿宋"/>
        </w:rPr>
        <w:t>；</w:t>
      </w:r>
    </w:p>
    <w:p>
      <w:pPr>
        <w:autoSpaceDE w:val="0"/>
        <w:autoSpaceDN w:val="0"/>
        <w:adjustRightInd w:val="0"/>
        <w:spacing w:line="360" w:lineRule="auto"/>
        <w:ind w:firstLine="371" w:firstLineChars="177"/>
        <w:rPr>
          <w:rFonts w:ascii="宋体" w:hAnsi="宋体" w:cs="仿宋"/>
        </w:rPr>
      </w:pPr>
      <w:r>
        <w:rPr>
          <w:rFonts w:ascii="宋体" w:hAnsi="宋体" w:cs="仿宋"/>
        </w:rPr>
        <w:t xml:space="preserve">2. </w:t>
      </w:r>
      <w:r>
        <w:rPr>
          <w:rFonts w:hint="eastAsia" w:ascii="宋体" w:hAnsi="宋体" w:cs="仿宋"/>
          <w:i/>
          <w:iCs/>
          <w:u w:val="single"/>
        </w:rPr>
        <w:t>（标的名称）</w:t>
      </w:r>
      <w:r>
        <w:rPr>
          <w:rFonts w:hint="eastAsia" w:ascii="宋体" w:hAnsi="宋体" w:cs="仿宋"/>
        </w:rPr>
        <w:t>，属于</w:t>
      </w:r>
      <w:r>
        <w:rPr>
          <w:rFonts w:hint="eastAsia" w:ascii="宋体" w:hAnsi="宋体" w:cs="仿宋"/>
          <w:i/>
          <w:iCs/>
          <w:u w:val="single"/>
        </w:rPr>
        <w:t>（采购文件中明确的所属行业）</w:t>
      </w:r>
      <w:r>
        <w:rPr>
          <w:rFonts w:hint="eastAsia" w:ascii="宋体" w:hAnsi="宋体" w:cs="仿宋"/>
          <w:u w:val="single"/>
        </w:rPr>
        <w:t>行业</w:t>
      </w:r>
      <w:r>
        <w:rPr>
          <w:rFonts w:hint="eastAsia" w:ascii="宋体" w:hAnsi="宋体" w:cs="仿宋"/>
        </w:rPr>
        <w:t>；制造商为</w:t>
      </w:r>
      <w:r>
        <w:rPr>
          <w:rFonts w:hint="eastAsia" w:ascii="宋体" w:hAnsi="宋体" w:cs="仿宋"/>
          <w:i/>
          <w:iCs/>
          <w:u w:val="single"/>
        </w:rPr>
        <w:t>（企业名称）</w:t>
      </w:r>
      <w:r>
        <w:rPr>
          <w:rFonts w:hint="eastAsia" w:ascii="宋体" w:hAnsi="宋体" w:cs="仿宋"/>
        </w:rPr>
        <w:t>，从业人员人，营业收入为万元，资产总额为万元，属于</w:t>
      </w:r>
      <w:r>
        <w:rPr>
          <w:rFonts w:hint="eastAsia" w:ascii="宋体" w:hAnsi="宋体" w:cs="仿宋"/>
          <w:i/>
          <w:iCs/>
          <w:u w:val="single"/>
        </w:rPr>
        <w:t>（中型企业、小型企业、微型企业）</w:t>
      </w:r>
      <w:r>
        <w:rPr>
          <w:rFonts w:hint="eastAsia" w:ascii="宋体" w:hAnsi="宋体" w:cs="仿宋"/>
        </w:rPr>
        <w:t>；</w:t>
      </w:r>
    </w:p>
    <w:p>
      <w:pPr>
        <w:autoSpaceDE w:val="0"/>
        <w:autoSpaceDN w:val="0"/>
        <w:adjustRightInd w:val="0"/>
        <w:spacing w:line="360" w:lineRule="auto"/>
        <w:ind w:firstLine="371" w:firstLineChars="177"/>
        <w:rPr>
          <w:rFonts w:ascii="宋体" w:hAnsi="宋体" w:cs="仿宋"/>
        </w:rPr>
      </w:pPr>
      <w:r>
        <w:rPr>
          <w:rFonts w:hint="eastAsia" w:ascii="宋体" w:hAnsi="宋体" w:cs="仿宋"/>
        </w:rPr>
        <w:t>……</w:t>
      </w:r>
    </w:p>
    <w:p>
      <w:pPr>
        <w:autoSpaceDE w:val="0"/>
        <w:autoSpaceDN w:val="0"/>
        <w:adjustRightInd w:val="0"/>
        <w:spacing w:line="360" w:lineRule="auto"/>
        <w:ind w:firstLine="371" w:firstLineChars="177"/>
        <w:rPr>
          <w:rFonts w:ascii="宋体" w:hAnsi="宋体" w:cs="仿宋"/>
        </w:rPr>
      </w:pPr>
      <w:r>
        <w:rPr>
          <w:rFonts w:hint="eastAsia" w:ascii="宋体" w:hAnsi="宋体" w:cs="仿宋"/>
        </w:rPr>
        <w:t>以上企业，不属于大企业的分支机构，不存在控股股东为大企业的情形，也不存在与大企业的负责人为同一人的情形。</w:t>
      </w:r>
    </w:p>
    <w:p>
      <w:pPr>
        <w:autoSpaceDE w:val="0"/>
        <w:autoSpaceDN w:val="0"/>
        <w:adjustRightInd w:val="0"/>
        <w:spacing w:line="360" w:lineRule="auto"/>
        <w:ind w:firstLine="371" w:firstLineChars="177"/>
        <w:rPr>
          <w:rFonts w:ascii="宋体" w:hAnsi="宋体" w:cs="仿宋"/>
        </w:rPr>
      </w:pPr>
      <w:r>
        <w:rPr>
          <w:rFonts w:hint="eastAsia" w:ascii="宋体" w:hAnsi="宋体" w:cs="仿宋"/>
        </w:rPr>
        <w:t>本企业对上述声明内容的真实性负责。如有虚假，将依法承担相应责任。</w:t>
      </w:r>
    </w:p>
    <w:p>
      <w:pPr>
        <w:autoSpaceDE w:val="0"/>
        <w:autoSpaceDN w:val="0"/>
        <w:adjustRightInd w:val="0"/>
        <w:spacing w:line="360" w:lineRule="auto"/>
        <w:ind w:firstLine="4836" w:firstLineChars="2303"/>
        <w:rPr>
          <w:rFonts w:ascii="宋体" w:hAnsi="宋体" w:cs="仿宋"/>
        </w:rPr>
      </w:pPr>
      <w:r>
        <w:rPr>
          <w:rFonts w:hint="eastAsia" w:ascii="宋体" w:hAnsi="宋体" w:cs="仿宋"/>
        </w:rPr>
        <w:t>企业名称（盖章）：</w:t>
      </w:r>
    </w:p>
    <w:p>
      <w:pPr>
        <w:autoSpaceDE w:val="0"/>
        <w:autoSpaceDN w:val="0"/>
        <w:adjustRightInd w:val="0"/>
        <w:spacing w:line="360" w:lineRule="auto"/>
        <w:ind w:firstLine="4836" w:firstLineChars="2303"/>
        <w:rPr>
          <w:rFonts w:ascii="宋体" w:hAnsi="宋体" w:cs="仿宋"/>
        </w:rPr>
      </w:pPr>
      <w:r>
        <w:rPr>
          <w:rFonts w:hint="eastAsia" w:ascii="宋体" w:hAnsi="宋体" w:cs="仿宋"/>
        </w:rPr>
        <w:t>日期：</w:t>
      </w:r>
    </w:p>
    <w:p>
      <w:pPr>
        <w:spacing w:line="360" w:lineRule="auto"/>
        <w:rPr>
          <w:rFonts w:ascii="宋体" w:hAnsi="宋体"/>
          <w:spacing w:val="6"/>
          <w:sz w:val="18"/>
          <w:szCs w:val="18"/>
        </w:rPr>
      </w:pPr>
      <w:r>
        <w:rPr>
          <w:rFonts w:ascii="宋体" w:hAnsi="宋体" w:cs="TimesNewRomanPSMT"/>
          <w:sz w:val="12"/>
          <w:szCs w:val="12"/>
        </w:rPr>
        <w:pict>
          <v:rect id="_x0000_i1025" o:spt="1" style="height:0.05pt;width:308.15pt;" fillcolor="#A0A0A0" filled="t" stroked="f" coordsize="21600,21600" o:hr="t" o:hrstd="t" o:hrpct="742">
            <v:path/>
            <v:fill on="t" focussize="0,0"/>
            <v:stroke on="f"/>
            <v:imagedata o:title=""/>
            <o:lock v:ext="edit"/>
            <w10:wrap type="none"/>
            <w10:anchorlock/>
          </v:rect>
        </w:pict>
      </w:r>
      <w:r>
        <w:rPr>
          <w:rFonts w:ascii="宋体" w:hAnsi="宋体" w:cs="TimesNewRomanPSMT"/>
          <w:sz w:val="18"/>
          <w:szCs w:val="18"/>
          <w:vertAlign w:val="superscript"/>
        </w:rPr>
        <w:t>1</w:t>
      </w:r>
      <w:r>
        <w:rPr>
          <w:rFonts w:hint="eastAsia" w:ascii="宋体" w:hAnsi="宋体"/>
          <w:sz w:val="18"/>
          <w:szCs w:val="18"/>
        </w:rPr>
        <w:t>从业人员、营业收入、资产总额填报上一年度数据，无上一年度数据的新成立企业可不填报。</w:t>
      </w:r>
    </w:p>
    <w:p>
      <w:pPr>
        <w:widowControl/>
        <w:jc w:val="left"/>
        <w:rPr>
          <w:rFonts w:ascii="宋体" w:hAnsi="宋体"/>
          <w:spacing w:val="6"/>
          <w:sz w:val="24"/>
        </w:rPr>
      </w:pPr>
      <w:r>
        <w:rPr>
          <w:rFonts w:ascii="宋体" w:hAnsi="宋体"/>
          <w:spacing w:val="6"/>
          <w:sz w:val="24"/>
        </w:rPr>
        <w:br w:type="page"/>
      </w:r>
    </w:p>
    <w:p>
      <w:pPr>
        <w:widowControl/>
        <w:jc w:val="left"/>
        <w:rPr>
          <w:rFonts w:ascii="宋体" w:hAnsi="宋体"/>
          <w:spacing w:val="6"/>
          <w:sz w:val="24"/>
        </w:rPr>
      </w:pPr>
    </w:p>
    <w:p>
      <w:pPr>
        <w:jc w:val="center"/>
        <w:rPr>
          <w:rFonts w:ascii="宋体" w:hAnsi="宋体"/>
          <w:spacing w:val="6"/>
          <w:sz w:val="24"/>
        </w:rPr>
      </w:pPr>
    </w:p>
    <w:p>
      <w:pPr>
        <w:spacing w:line="588" w:lineRule="exact"/>
        <w:jc w:val="center"/>
        <w:rPr>
          <w:rFonts w:ascii="宋体" w:hAnsi="宋体" w:cs="等线"/>
          <w:b/>
          <w:spacing w:val="6"/>
          <w:sz w:val="30"/>
          <w:szCs w:val="30"/>
        </w:rPr>
      </w:pPr>
      <w:r>
        <w:rPr>
          <w:rFonts w:hint="eastAsia" w:ascii="宋体" w:hAnsi="宋体" w:cs="等线"/>
          <w:b/>
          <w:spacing w:val="6"/>
          <w:sz w:val="30"/>
          <w:szCs w:val="30"/>
        </w:rPr>
        <w:t>残疾人福利性单位声明函</w:t>
      </w:r>
    </w:p>
    <w:bookmarkEnd w:id="128"/>
    <w:bookmarkEnd w:id="129"/>
    <w:p>
      <w:pPr>
        <w:spacing w:line="588" w:lineRule="exact"/>
        <w:rPr>
          <w:rFonts w:ascii="宋体" w:hAnsi="宋体" w:cs="等线"/>
          <w:b/>
          <w:spacing w:val="6"/>
          <w:sz w:val="24"/>
        </w:rPr>
      </w:pPr>
    </w:p>
    <w:p>
      <w:pPr>
        <w:spacing w:line="588" w:lineRule="exact"/>
        <w:ind w:firstLine="504" w:firstLineChars="200"/>
        <w:rPr>
          <w:rFonts w:ascii="宋体" w:hAnsi="宋体" w:cs="等线"/>
          <w:spacing w:val="6"/>
          <w:sz w:val="24"/>
        </w:rPr>
      </w:pPr>
      <w:r>
        <w:rPr>
          <w:rFonts w:hint="eastAsia" w:ascii="宋体" w:hAnsi="宋体" w:cs="等线"/>
          <w:spacing w:val="6"/>
          <w:sz w:val="24"/>
        </w:rPr>
        <w:t>本单位郑重声明，根据《财政部</w:t>
      </w:r>
      <w:r>
        <w:rPr>
          <w:rFonts w:ascii="宋体" w:hAnsi="宋体" w:cs="等线"/>
          <w:spacing w:val="6"/>
          <w:sz w:val="24"/>
        </w:rPr>
        <w:t xml:space="preserve"> </w:t>
      </w:r>
      <w:r>
        <w:rPr>
          <w:rFonts w:hint="eastAsia" w:ascii="宋体" w:hAnsi="宋体" w:cs="等线"/>
          <w:spacing w:val="6"/>
          <w:sz w:val="24"/>
        </w:rPr>
        <w:t>民政部</w:t>
      </w:r>
      <w:r>
        <w:rPr>
          <w:rFonts w:ascii="宋体" w:hAnsi="宋体" w:cs="等线"/>
          <w:spacing w:val="6"/>
          <w:sz w:val="24"/>
        </w:rPr>
        <w:t xml:space="preserve"> </w:t>
      </w:r>
      <w:r>
        <w:rPr>
          <w:rFonts w:hint="eastAsia" w:ascii="宋体" w:hAnsi="宋体" w:cs="等线"/>
          <w:spacing w:val="6"/>
          <w:sz w:val="24"/>
        </w:rPr>
        <w:t>中国残疾人联合会关于促进残疾人就业政府采购政策的通知》（财库</w:t>
      </w:r>
      <w:r>
        <w:rPr>
          <w:rFonts w:hint="eastAsia" w:ascii="宋体" w:hAnsi="宋体" w:cs="等线"/>
          <w:sz w:val="24"/>
        </w:rPr>
        <w:t>〔</w:t>
      </w:r>
      <w:r>
        <w:rPr>
          <w:rFonts w:ascii="宋体" w:hAnsi="宋体" w:cs="等线"/>
          <w:sz w:val="24"/>
        </w:rPr>
        <w:t>2017〕 141</w:t>
      </w:r>
      <w:r>
        <w:rPr>
          <w:rFonts w:hint="eastAsia" w:ascii="宋体" w:hAnsi="宋体" w:cs="等线"/>
          <w:spacing w:val="6"/>
          <w:sz w:val="24"/>
        </w:rPr>
        <w:t>号）的规定，本单位为符合条件的残疾人福利性单位，且本单位参加</w:t>
      </w:r>
      <w:r>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等线"/>
          <w:spacing w:val="6"/>
          <w:sz w:val="24"/>
        </w:rPr>
      </w:pPr>
      <w:r>
        <w:rPr>
          <w:rFonts w:hint="eastAsia" w:ascii="宋体" w:hAnsi="宋体" w:cs="等线"/>
          <w:spacing w:val="6"/>
          <w:sz w:val="24"/>
        </w:rPr>
        <w:t>本单位对上述声明的真实性负责。如有虚假，将依法承担相应责任。</w:t>
      </w:r>
    </w:p>
    <w:p>
      <w:pPr>
        <w:spacing w:line="588" w:lineRule="exact"/>
        <w:ind w:firstLine="504" w:firstLineChars="200"/>
        <w:rPr>
          <w:rFonts w:ascii="宋体" w:hAnsi="宋体" w:cs="等线"/>
          <w:spacing w:val="6"/>
          <w:sz w:val="24"/>
        </w:rPr>
      </w:pPr>
    </w:p>
    <w:p>
      <w:pPr>
        <w:spacing w:line="588" w:lineRule="exact"/>
        <w:ind w:firstLine="504" w:firstLineChars="200"/>
        <w:rPr>
          <w:rFonts w:ascii="宋体" w:hAnsi="宋体" w:cs="等线"/>
          <w:spacing w:val="6"/>
          <w:sz w:val="24"/>
        </w:rPr>
      </w:pPr>
    </w:p>
    <w:p>
      <w:pPr>
        <w:tabs>
          <w:tab w:val="left" w:pos="4860"/>
        </w:tabs>
        <w:spacing w:line="588" w:lineRule="exact"/>
        <w:ind w:right="1560" w:firstLine="504" w:firstLineChars="200"/>
        <w:jc w:val="center"/>
        <w:rPr>
          <w:rFonts w:ascii="宋体" w:hAnsi="宋体" w:cs="等线"/>
          <w:spacing w:val="6"/>
          <w:sz w:val="24"/>
        </w:rPr>
      </w:pPr>
      <w:r>
        <w:rPr>
          <w:rFonts w:ascii="宋体" w:hAnsi="宋体" w:cs="等线"/>
          <w:spacing w:val="6"/>
          <w:sz w:val="24"/>
        </w:rPr>
        <w:t xml:space="preserve">               单位名称（盖章）：</w:t>
      </w:r>
    </w:p>
    <w:p>
      <w:pPr>
        <w:tabs>
          <w:tab w:val="left" w:pos="4860"/>
        </w:tabs>
        <w:spacing w:line="588" w:lineRule="exact"/>
        <w:ind w:right="1560" w:firstLine="504" w:firstLineChars="200"/>
        <w:jc w:val="center"/>
        <w:rPr>
          <w:rFonts w:ascii="宋体" w:hAnsi="宋体" w:cs="等线"/>
          <w:spacing w:val="6"/>
          <w:sz w:val="24"/>
        </w:rPr>
      </w:pPr>
      <w:r>
        <w:rPr>
          <w:rFonts w:ascii="宋体" w:hAnsi="宋体" w:cs="等线"/>
          <w:spacing w:val="6"/>
          <w:sz w:val="24"/>
        </w:rPr>
        <w:t xml:space="preserve">       日  期：</w:t>
      </w:r>
    </w:p>
    <w:p>
      <w:pPr>
        <w:widowControl/>
        <w:jc w:val="left"/>
        <w:rPr>
          <w:rFonts w:ascii="宋体" w:hAnsi="宋体" w:cs="等线"/>
          <w:spacing w:val="6"/>
          <w:sz w:val="24"/>
        </w:rPr>
      </w:pPr>
      <w:r>
        <w:rPr>
          <w:rFonts w:ascii="宋体" w:hAnsi="宋体" w:cs="等线"/>
          <w:spacing w:val="6"/>
          <w:sz w:val="24"/>
        </w:rPr>
        <w:br w:type="page"/>
      </w:r>
    </w:p>
    <w:p>
      <w:pPr>
        <w:pStyle w:val="3"/>
      </w:pPr>
      <w:bookmarkStart w:id="130" w:name="_Toc146043921"/>
      <w:r>
        <w:rPr>
          <w:rFonts w:hint="eastAsia"/>
        </w:rPr>
        <w:t>三、技术部分</w:t>
      </w:r>
      <w:bookmarkEnd w:id="130"/>
    </w:p>
    <w:p>
      <w:pPr>
        <w:pStyle w:val="4"/>
        <w:rPr>
          <w:rFonts w:ascii="宋体" w:hAnsi="宋体"/>
        </w:rPr>
      </w:pPr>
      <w:bookmarkStart w:id="131" w:name="_Toc146043922"/>
      <w:r>
        <w:rPr>
          <w:rFonts w:ascii="宋体" w:hAnsi="宋体"/>
        </w:rPr>
        <w:t>1</w:t>
      </w:r>
      <w:r>
        <w:rPr>
          <w:rFonts w:hint="eastAsia" w:ascii="宋体" w:hAnsi="宋体"/>
        </w:rPr>
        <w:t>.技术偏离表</w:t>
      </w:r>
      <w:bookmarkEnd w:id="131"/>
      <w:r>
        <w:rPr>
          <w:rFonts w:hint="eastAsia" w:ascii="宋体" w:hAnsi="宋体"/>
        </w:rPr>
        <w:t xml:space="preserve"> </w:t>
      </w:r>
    </w:p>
    <w:p>
      <w:pPr>
        <w:spacing w:line="360" w:lineRule="auto"/>
        <w:rPr>
          <w:rFonts w:ascii="宋体" w:hAnsi="宋体"/>
          <w:sz w:val="24"/>
          <w:szCs w:val="24"/>
        </w:rPr>
      </w:pPr>
      <w:r>
        <w:rPr>
          <w:rFonts w:hint="eastAsia" w:ascii="宋体" w:hAnsi="宋体"/>
          <w:b/>
          <w:sz w:val="24"/>
          <w:szCs w:val="24"/>
        </w:rPr>
        <w:t xml:space="preserve"> </w:t>
      </w: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 xml:space="preserve"> 项目编号：</w:t>
      </w:r>
      <w:r>
        <w:rPr>
          <w:rFonts w:hint="eastAsia" w:ascii="宋体" w:hAnsi="宋体"/>
          <w:b/>
          <w:sz w:val="24"/>
          <w:szCs w:val="24"/>
          <w:u w:val="single"/>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8"/>
        <w:gridCol w:w="1772"/>
        <w:gridCol w:w="1572"/>
        <w:gridCol w:w="1906"/>
        <w:gridCol w:w="1566"/>
        <w:gridCol w:w="1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7529"/>
              <w:textAlignment w:val="bottom"/>
              <w:rPr>
                <w:rFonts w:ascii="宋体" w:hAnsi="宋体"/>
                <w:sz w:val="24"/>
                <w:szCs w:val="24"/>
              </w:rPr>
            </w:pPr>
            <w:r>
              <w:rPr>
                <w:rFonts w:hint="eastAsia" w:ascii="宋体" w:hAnsi="宋体"/>
                <w:sz w:val="24"/>
                <w:szCs w:val="24"/>
              </w:rPr>
              <w:t>序号</w:t>
            </w:r>
          </w:p>
        </w:tc>
        <w:tc>
          <w:tcPr>
            <w:tcW w:w="1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6053"/>
              <w:textAlignment w:val="bottom"/>
              <w:rPr>
                <w:rFonts w:ascii="宋体" w:hAnsi="宋体"/>
                <w:sz w:val="24"/>
                <w:szCs w:val="24"/>
              </w:rPr>
            </w:pPr>
            <w:r>
              <w:rPr>
                <w:rFonts w:hint="eastAsia" w:ascii="宋体" w:hAnsi="宋体"/>
                <w:sz w:val="24"/>
                <w:szCs w:val="24"/>
              </w:rPr>
              <w:t>竞争性磋商文</w:t>
            </w:r>
          </w:p>
          <w:p>
            <w:pPr>
              <w:autoSpaceDE w:val="0"/>
              <w:autoSpaceDN w:val="0"/>
              <w:spacing w:line="360" w:lineRule="auto"/>
              <w:ind w:right="-6053"/>
              <w:textAlignment w:val="bottom"/>
              <w:rPr>
                <w:rFonts w:ascii="宋体" w:hAnsi="宋体"/>
                <w:sz w:val="24"/>
                <w:szCs w:val="24"/>
              </w:rPr>
            </w:pPr>
            <w:r>
              <w:rPr>
                <w:rFonts w:hint="eastAsia" w:ascii="宋体" w:hAnsi="宋体"/>
                <w:sz w:val="24"/>
                <w:szCs w:val="24"/>
              </w:rPr>
              <w:t>件内容条目号</w:t>
            </w: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4577"/>
              <w:textAlignment w:val="bottom"/>
              <w:rPr>
                <w:rFonts w:ascii="宋体" w:hAnsi="宋体"/>
                <w:sz w:val="24"/>
                <w:szCs w:val="24"/>
              </w:rPr>
            </w:pPr>
            <w:r>
              <w:rPr>
                <w:rFonts w:hint="eastAsia" w:ascii="宋体" w:hAnsi="宋体"/>
                <w:sz w:val="24"/>
                <w:szCs w:val="24"/>
              </w:rPr>
              <w:t>竞争性磋商</w:t>
            </w:r>
          </w:p>
          <w:p>
            <w:pPr>
              <w:autoSpaceDE w:val="0"/>
              <w:autoSpaceDN w:val="0"/>
              <w:spacing w:line="360" w:lineRule="auto"/>
              <w:ind w:right="-4577"/>
              <w:textAlignment w:val="bottom"/>
              <w:rPr>
                <w:rFonts w:ascii="宋体" w:hAnsi="宋体"/>
                <w:sz w:val="24"/>
                <w:szCs w:val="24"/>
              </w:rPr>
            </w:pPr>
            <w:r>
              <w:rPr>
                <w:rFonts w:hint="eastAsia" w:ascii="宋体" w:hAnsi="宋体"/>
                <w:sz w:val="24"/>
                <w:szCs w:val="24"/>
              </w:rPr>
              <w:t>文件要求</w:t>
            </w:r>
          </w:p>
        </w:tc>
        <w:tc>
          <w:tcPr>
            <w:tcW w:w="190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3101"/>
              <w:textAlignment w:val="bottom"/>
              <w:rPr>
                <w:rFonts w:ascii="宋体" w:hAnsi="宋体"/>
                <w:sz w:val="24"/>
                <w:szCs w:val="24"/>
              </w:rPr>
            </w:pPr>
            <w:r>
              <w:rPr>
                <w:rFonts w:hint="eastAsia" w:ascii="宋体" w:hAnsi="宋体"/>
                <w:sz w:val="24"/>
                <w:szCs w:val="24"/>
              </w:rPr>
              <w:t>磋商文件响应</w:t>
            </w:r>
          </w:p>
        </w:tc>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1625"/>
              <w:textAlignment w:val="bottom"/>
              <w:rPr>
                <w:rFonts w:ascii="宋体" w:hAnsi="宋体"/>
                <w:sz w:val="24"/>
                <w:szCs w:val="24"/>
              </w:rPr>
            </w:pPr>
            <w:r>
              <w:rPr>
                <w:rFonts w:hint="eastAsia" w:ascii="宋体" w:hAnsi="宋体"/>
                <w:sz w:val="24"/>
                <w:szCs w:val="24"/>
              </w:rPr>
              <w:t>响应/偏离</w:t>
            </w:r>
          </w:p>
        </w:tc>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149"/>
              <w:textAlignment w:val="bottom"/>
              <w:rPr>
                <w:rFonts w:ascii="宋体" w:hAnsi="宋体"/>
                <w:sz w:val="24"/>
                <w:szCs w:val="24"/>
              </w:rPr>
            </w:pPr>
            <w:r>
              <w:rPr>
                <w:rFonts w:hint="eastAsia" w:ascii="宋体" w:hAnsi="宋体"/>
                <w:sz w:val="24"/>
                <w:szCs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p>
            <w:pPr>
              <w:autoSpaceDE w:val="0"/>
              <w:autoSpaceDN w:val="0"/>
              <w:spacing w:line="360" w:lineRule="auto"/>
              <w:ind w:right="893"/>
              <w:textAlignment w:val="bottom"/>
              <w:rPr>
                <w:rFonts w:ascii="宋体" w:hAnsi="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90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p>
            <w:pPr>
              <w:autoSpaceDE w:val="0"/>
              <w:autoSpaceDN w:val="0"/>
              <w:spacing w:line="360" w:lineRule="auto"/>
              <w:ind w:right="893"/>
              <w:textAlignment w:val="bottom"/>
              <w:rPr>
                <w:rFonts w:ascii="宋体" w:hAnsi="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90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p>
            <w:pPr>
              <w:autoSpaceDE w:val="0"/>
              <w:autoSpaceDN w:val="0"/>
              <w:spacing w:line="360" w:lineRule="auto"/>
              <w:ind w:right="893"/>
              <w:textAlignment w:val="bottom"/>
              <w:rPr>
                <w:rFonts w:ascii="宋体" w:hAnsi="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90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p>
            <w:pPr>
              <w:autoSpaceDE w:val="0"/>
              <w:autoSpaceDN w:val="0"/>
              <w:spacing w:line="360" w:lineRule="auto"/>
              <w:ind w:right="893"/>
              <w:textAlignment w:val="bottom"/>
              <w:rPr>
                <w:rFonts w:ascii="宋体" w:hAnsi="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90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p>
            <w:pPr>
              <w:autoSpaceDE w:val="0"/>
              <w:autoSpaceDN w:val="0"/>
              <w:spacing w:line="360" w:lineRule="auto"/>
              <w:ind w:right="893"/>
              <w:textAlignment w:val="bottom"/>
              <w:rPr>
                <w:rFonts w:ascii="宋体" w:hAnsi="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90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p>
            <w:pPr>
              <w:autoSpaceDE w:val="0"/>
              <w:autoSpaceDN w:val="0"/>
              <w:spacing w:line="360" w:lineRule="auto"/>
              <w:ind w:right="893"/>
              <w:textAlignment w:val="bottom"/>
              <w:rPr>
                <w:rFonts w:ascii="宋体" w:hAnsi="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90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p>
            <w:pPr>
              <w:autoSpaceDE w:val="0"/>
              <w:autoSpaceDN w:val="0"/>
              <w:spacing w:line="360" w:lineRule="auto"/>
              <w:ind w:right="893"/>
              <w:textAlignment w:val="bottom"/>
              <w:rPr>
                <w:rFonts w:ascii="宋体" w:hAnsi="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90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893"/>
              <w:textAlignment w:val="bottom"/>
              <w:rPr>
                <w:rFonts w:ascii="宋体" w:hAnsi="宋体"/>
                <w:sz w:val="24"/>
                <w:szCs w:val="24"/>
              </w:rPr>
            </w:pPr>
          </w:p>
        </w:tc>
      </w:tr>
    </w:tbl>
    <w:p>
      <w:pPr>
        <w:spacing w:line="360" w:lineRule="auto"/>
        <w:rPr>
          <w:rFonts w:ascii="宋体" w:hAnsi="宋体"/>
          <w:sz w:val="24"/>
          <w:szCs w:val="24"/>
        </w:rPr>
      </w:pP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供应商代表签字： _____________</w:t>
      </w: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供应商名称（盖章）：</w:t>
      </w:r>
      <w:r>
        <w:rPr>
          <w:rFonts w:hint="eastAsia" w:ascii="宋体" w:hAnsi="宋体"/>
          <w:sz w:val="24"/>
          <w:szCs w:val="24"/>
          <w:u w:val="single"/>
        </w:rPr>
        <w:t xml:space="preserve">               </w:t>
      </w: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注：</w:t>
      </w:r>
    </w:p>
    <w:p>
      <w:pPr>
        <w:autoSpaceDE w:val="0"/>
        <w:autoSpaceDN w:val="0"/>
        <w:spacing w:line="360" w:lineRule="auto"/>
        <w:ind w:right="-136"/>
        <w:textAlignment w:val="bottom"/>
        <w:rPr>
          <w:rFonts w:ascii="宋体" w:hAnsi="宋体"/>
          <w:sz w:val="24"/>
          <w:szCs w:val="24"/>
        </w:rPr>
      </w:pPr>
      <w:r>
        <w:rPr>
          <w:rFonts w:hint="eastAsia" w:ascii="宋体" w:hAnsi="宋体"/>
          <w:sz w:val="24"/>
          <w:szCs w:val="24"/>
        </w:rPr>
        <w:t>1、对竞争性磋商文件有任何偏离应列明“正偏离”或“负偏离”。</w:t>
      </w:r>
    </w:p>
    <w:p>
      <w:pPr>
        <w:spacing w:line="360" w:lineRule="auto"/>
        <w:rPr>
          <w:rFonts w:ascii="宋体" w:hAnsi="宋体"/>
          <w:sz w:val="24"/>
          <w:szCs w:val="24"/>
        </w:rPr>
      </w:pPr>
      <w:r>
        <w:rPr>
          <w:rFonts w:hint="eastAsia" w:ascii="宋体" w:hAnsi="宋体"/>
          <w:sz w:val="24"/>
          <w:szCs w:val="24"/>
        </w:rPr>
        <w:t>2、对竞争性磋商文件无偏离应标明“无偏离。</w:t>
      </w:r>
    </w:p>
    <w:p>
      <w:pPr>
        <w:spacing w:line="360" w:lineRule="auto"/>
        <w:rPr>
          <w:rFonts w:ascii="宋体" w:hAnsi="宋体"/>
          <w:sz w:val="24"/>
          <w:szCs w:val="24"/>
        </w:rPr>
      </w:pPr>
      <w:r>
        <w:rPr>
          <w:rFonts w:hint="eastAsia" w:ascii="宋体" w:hAnsi="宋体"/>
          <w:sz w:val="24"/>
          <w:szCs w:val="24"/>
        </w:rPr>
        <w:t>3、此表格经法人授权代表签字方有效。</w:t>
      </w:r>
    </w:p>
    <w:p>
      <w:pPr>
        <w:pStyle w:val="4"/>
        <w:rPr>
          <w:rFonts w:ascii="宋体" w:hAnsi="宋体"/>
        </w:rPr>
      </w:pPr>
      <w:r>
        <w:rPr>
          <w:rFonts w:ascii="宋体" w:hAnsi="宋体"/>
          <w:szCs w:val="24"/>
        </w:rPr>
        <w:br w:type="page"/>
      </w:r>
      <w:bookmarkStart w:id="132" w:name="_Toc146043923"/>
      <w:r>
        <w:rPr>
          <w:rFonts w:ascii="宋体" w:hAnsi="宋体"/>
        </w:rPr>
        <w:t>2</w:t>
      </w:r>
      <w:r>
        <w:rPr>
          <w:rFonts w:hint="eastAsia" w:ascii="宋体" w:hAnsi="宋体"/>
        </w:rPr>
        <w:t>.详细的方案和说明（格式自定）；</w:t>
      </w:r>
      <w:bookmarkEnd w:id="132"/>
    </w:p>
    <w:p>
      <w:pPr>
        <w:spacing w:line="360" w:lineRule="auto"/>
        <w:ind w:right="281" w:rightChars="134"/>
        <w:rPr>
          <w:rFonts w:ascii="宋体" w:hAnsi="宋体"/>
          <w:sz w:val="24"/>
          <w:szCs w:val="24"/>
        </w:rPr>
      </w:pPr>
    </w:p>
    <w:p>
      <w:pPr>
        <w:spacing w:line="360" w:lineRule="auto"/>
        <w:ind w:right="281" w:rightChars="134"/>
        <w:rPr>
          <w:rFonts w:ascii="宋体" w:hAnsi="宋体"/>
          <w:sz w:val="24"/>
          <w:szCs w:val="24"/>
        </w:rPr>
      </w:pPr>
    </w:p>
    <w:p>
      <w:pPr>
        <w:spacing w:line="360" w:lineRule="auto"/>
        <w:ind w:right="281" w:rightChars="134"/>
        <w:rPr>
          <w:rFonts w:ascii="宋体" w:hAnsi="宋体"/>
          <w:sz w:val="24"/>
          <w:szCs w:val="24"/>
        </w:rPr>
      </w:pPr>
    </w:p>
    <w:p>
      <w:pPr>
        <w:spacing w:line="360" w:lineRule="auto"/>
        <w:ind w:right="281" w:rightChars="134"/>
        <w:rPr>
          <w:rFonts w:ascii="宋体" w:hAnsi="宋体"/>
          <w:sz w:val="24"/>
          <w:szCs w:val="24"/>
        </w:rPr>
      </w:pPr>
    </w:p>
    <w:p>
      <w:pPr>
        <w:spacing w:line="360" w:lineRule="auto"/>
        <w:ind w:right="281" w:rightChars="134"/>
        <w:rPr>
          <w:rFonts w:ascii="宋体" w:hAnsi="宋体"/>
          <w:sz w:val="24"/>
          <w:szCs w:val="24"/>
        </w:rPr>
      </w:pPr>
    </w:p>
    <w:p>
      <w:pPr>
        <w:spacing w:line="360" w:lineRule="auto"/>
        <w:ind w:right="281" w:rightChars="134"/>
        <w:rPr>
          <w:rFonts w:ascii="宋体" w:hAnsi="宋体"/>
          <w:sz w:val="24"/>
          <w:szCs w:val="24"/>
        </w:rPr>
      </w:pPr>
    </w:p>
    <w:p>
      <w:pPr>
        <w:spacing w:line="360" w:lineRule="auto"/>
        <w:ind w:right="281" w:rightChars="134"/>
        <w:rPr>
          <w:rFonts w:ascii="宋体" w:hAnsi="宋体"/>
          <w:sz w:val="24"/>
          <w:szCs w:val="24"/>
        </w:rPr>
      </w:pPr>
    </w:p>
    <w:p>
      <w:pPr>
        <w:pStyle w:val="4"/>
        <w:rPr>
          <w:rFonts w:ascii="宋体" w:hAnsi="宋体"/>
        </w:rPr>
      </w:pPr>
      <w:bookmarkStart w:id="133" w:name="_Toc146043924"/>
      <w:r>
        <w:rPr>
          <w:rFonts w:ascii="宋体" w:hAnsi="宋体"/>
        </w:rPr>
        <w:t>3.</w:t>
      </w:r>
      <w:r>
        <w:rPr>
          <w:rFonts w:hint="eastAsia" w:ascii="宋体" w:hAnsi="宋体"/>
        </w:rPr>
        <w:t>供应商认为应该提供或磋商文件要求提供的其他材料</w:t>
      </w:r>
      <w:bookmarkEnd w:id="133"/>
    </w:p>
    <w:p>
      <w:pPr>
        <w:spacing w:line="360" w:lineRule="auto"/>
        <w:ind w:right="281" w:rightChars="134"/>
        <w:rPr>
          <w:rFonts w:ascii="宋体" w:hAnsi="宋体"/>
          <w:sz w:val="24"/>
          <w:szCs w:val="24"/>
        </w:rPr>
      </w:pPr>
    </w:p>
    <w:p>
      <w:pPr>
        <w:pStyle w:val="4"/>
        <w:rPr>
          <w:rFonts w:ascii="宋体" w:hAnsi="宋体"/>
          <w:sz w:val="28"/>
          <w:szCs w:val="24"/>
        </w:rPr>
      </w:pPr>
      <w:r>
        <w:rPr>
          <w:rFonts w:ascii="宋体" w:hAnsi="宋体"/>
          <w:szCs w:val="24"/>
        </w:rPr>
        <w:br w:type="page"/>
      </w:r>
      <w:bookmarkStart w:id="134" w:name="_Toc417566248"/>
      <w:bookmarkStart w:id="135" w:name="_Toc310195760"/>
    </w:p>
    <w:p>
      <w:pPr>
        <w:pStyle w:val="2"/>
        <w:numPr>
          <w:ilvl w:val="0"/>
          <w:numId w:val="0"/>
        </w:numPr>
        <w:ind w:left="426"/>
        <w:rPr>
          <w:rFonts w:ascii="宋体" w:hAnsi="宋体"/>
          <w:sz w:val="28"/>
          <w:szCs w:val="24"/>
        </w:rPr>
      </w:pPr>
      <w:bookmarkStart w:id="136" w:name="_Toc146043925"/>
      <w:r>
        <w:rPr>
          <w:rFonts w:ascii="宋体" w:hAnsi="宋体"/>
          <w:sz w:val="28"/>
          <w:szCs w:val="24"/>
        </w:rPr>
        <w:t>第</w:t>
      </w:r>
      <w:r>
        <w:rPr>
          <w:rFonts w:hint="eastAsia" w:ascii="宋体" w:hAnsi="宋体"/>
          <w:sz w:val="28"/>
          <w:szCs w:val="24"/>
        </w:rPr>
        <w:t>七</w:t>
      </w:r>
      <w:r>
        <w:rPr>
          <w:rFonts w:ascii="宋体" w:hAnsi="宋体"/>
          <w:sz w:val="28"/>
          <w:szCs w:val="24"/>
        </w:rPr>
        <w:t>章  合同</w:t>
      </w:r>
      <w:bookmarkEnd w:id="134"/>
      <w:bookmarkEnd w:id="135"/>
      <w:r>
        <w:rPr>
          <w:rFonts w:hint="eastAsia" w:ascii="宋体" w:hAnsi="宋体"/>
          <w:sz w:val="28"/>
          <w:szCs w:val="24"/>
        </w:rPr>
        <w:t>条款</w:t>
      </w:r>
      <w:bookmarkEnd w:id="136"/>
    </w:p>
    <w:p>
      <w:pPr>
        <w:spacing w:before="312" w:beforeLines="100" w:line="360" w:lineRule="auto"/>
        <w:jc w:val="center"/>
        <w:rPr>
          <w:rFonts w:eastAsiaTheme="minorEastAsia"/>
          <w:b/>
          <w:bCs/>
          <w:sz w:val="32"/>
          <w:szCs w:val="32"/>
        </w:rPr>
      </w:pPr>
      <w:r>
        <w:rPr>
          <w:rFonts w:hint="eastAsia" w:eastAsiaTheme="minorEastAsia"/>
          <w:b/>
          <w:bCs/>
          <w:sz w:val="32"/>
          <w:szCs w:val="32"/>
        </w:rPr>
        <w:t>黑色手提包</w:t>
      </w:r>
      <w:r>
        <w:rPr>
          <w:rFonts w:eastAsiaTheme="minorEastAsia"/>
          <w:b/>
          <w:bCs/>
          <w:sz w:val="32"/>
          <w:szCs w:val="32"/>
        </w:rPr>
        <w:t>采购合同</w:t>
      </w:r>
    </w:p>
    <w:p>
      <w:pPr>
        <w:spacing w:line="400" w:lineRule="exact"/>
        <w:ind w:firstLine="482" w:firstLineChars="200"/>
        <w:rPr>
          <w:rFonts w:eastAsiaTheme="minorEastAsia"/>
          <w:b/>
          <w:bCs/>
          <w:sz w:val="24"/>
        </w:rPr>
      </w:pPr>
    </w:p>
    <w:p>
      <w:pPr>
        <w:spacing w:after="156" w:afterLines="50" w:line="380" w:lineRule="exact"/>
        <w:rPr>
          <w:rFonts w:eastAsiaTheme="minorEastAsia"/>
          <w:b/>
          <w:bCs/>
          <w:sz w:val="24"/>
        </w:rPr>
      </w:pPr>
      <w:r>
        <w:rPr>
          <w:rFonts w:eastAsiaTheme="minorEastAsia"/>
          <w:b/>
          <w:bCs/>
          <w:sz w:val="24"/>
        </w:rPr>
        <w:t>甲方（盖章）：清华大学（继续教育学院）</w:t>
      </w:r>
    </w:p>
    <w:tbl>
      <w:tblPr>
        <w:tblStyle w:val="48"/>
        <w:tblW w:w="8860" w:type="dxa"/>
        <w:tblInd w:w="108" w:type="dxa"/>
        <w:tblLayout w:type="autofit"/>
        <w:tblCellMar>
          <w:top w:w="0" w:type="dxa"/>
          <w:left w:w="108" w:type="dxa"/>
          <w:bottom w:w="0" w:type="dxa"/>
          <w:right w:w="108" w:type="dxa"/>
        </w:tblCellMar>
      </w:tblPr>
      <w:tblGrid>
        <w:gridCol w:w="1555"/>
        <w:gridCol w:w="2551"/>
        <w:gridCol w:w="1559"/>
        <w:gridCol w:w="3195"/>
      </w:tblGrid>
      <w:tr>
        <w:tblPrEx>
          <w:tblCellMar>
            <w:top w:w="0" w:type="dxa"/>
            <w:left w:w="108" w:type="dxa"/>
            <w:bottom w:w="0" w:type="dxa"/>
            <w:right w:w="108" w:type="dxa"/>
          </w:tblCellMar>
        </w:tblPrEx>
        <w:tc>
          <w:tcPr>
            <w:tcW w:w="1555" w:type="dxa"/>
          </w:tcPr>
          <w:p>
            <w:pPr>
              <w:spacing w:line="380" w:lineRule="exact"/>
              <w:rPr>
                <w:rFonts w:eastAsiaTheme="minorEastAsia"/>
                <w:szCs w:val="21"/>
              </w:rPr>
            </w:pPr>
            <w:r>
              <w:rPr>
                <w:rFonts w:eastAsiaTheme="minorEastAsia"/>
                <w:szCs w:val="21"/>
              </w:rPr>
              <w:t xml:space="preserve">地址： </w:t>
            </w:r>
          </w:p>
        </w:tc>
        <w:tc>
          <w:tcPr>
            <w:tcW w:w="2551" w:type="dxa"/>
          </w:tcPr>
          <w:p>
            <w:pPr>
              <w:spacing w:line="380" w:lineRule="exact"/>
              <w:rPr>
                <w:rFonts w:eastAsiaTheme="minorEastAsia"/>
                <w:szCs w:val="21"/>
              </w:rPr>
            </w:pPr>
            <w:r>
              <w:rPr>
                <w:rFonts w:eastAsiaTheme="minorEastAsia"/>
                <w:szCs w:val="21"/>
              </w:rPr>
              <w:t>北京市海淀区清华园</w:t>
            </w:r>
          </w:p>
        </w:tc>
        <w:tc>
          <w:tcPr>
            <w:tcW w:w="1559" w:type="dxa"/>
          </w:tcPr>
          <w:p>
            <w:pPr>
              <w:spacing w:line="380" w:lineRule="exact"/>
              <w:rPr>
                <w:rFonts w:eastAsiaTheme="minorEastAsia"/>
                <w:szCs w:val="21"/>
              </w:rPr>
            </w:pPr>
            <w:r>
              <w:rPr>
                <w:rFonts w:eastAsiaTheme="minorEastAsia"/>
                <w:szCs w:val="21"/>
              </w:rPr>
              <w:t>开户银行：</w:t>
            </w:r>
          </w:p>
        </w:tc>
        <w:tc>
          <w:tcPr>
            <w:tcW w:w="3195" w:type="dxa"/>
          </w:tcPr>
          <w:p>
            <w:pPr>
              <w:spacing w:line="380" w:lineRule="exact"/>
              <w:rPr>
                <w:rFonts w:eastAsiaTheme="minorEastAsia"/>
                <w:szCs w:val="21"/>
              </w:rPr>
            </w:pPr>
            <w:r>
              <w:rPr>
                <w:rFonts w:eastAsiaTheme="minorEastAsia"/>
                <w:szCs w:val="21"/>
              </w:rPr>
              <w:t>工行海淀西区支行</w:t>
            </w:r>
          </w:p>
        </w:tc>
      </w:tr>
      <w:tr>
        <w:tblPrEx>
          <w:tblCellMar>
            <w:top w:w="0" w:type="dxa"/>
            <w:left w:w="108" w:type="dxa"/>
            <w:bottom w:w="0" w:type="dxa"/>
            <w:right w:w="108" w:type="dxa"/>
          </w:tblCellMar>
        </w:tblPrEx>
        <w:tc>
          <w:tcPr>
            <w:tcW w:w="1555" w:type="dxa"/>
          </w:tcPr>
          <w:p>
            <w:pPr>
              <w:spacing w:line="380" w:lineRule="exact"/>
              <w:rPr>
                <w:rFonts w:eastAsiaTheme="minorEastAsia"/>
                <w:szCs w:val="21"/>
              </w:rPr>
            </w:pPr>
            <w:r>
              <w:rPr>
                <w:rFonts w:eastAsiaTheme="minorEastAsia"/>
                <w:szCs w:val="21"/>
              </w:rPr>
              <w:t xml:space="preserve">税号：                       </w:t>
            </w:r>
          </w:p>
        </w:tc>
        <w:tc>
          <w:tcPr>
            <w:tcW w:w="2551" w:type="dxa"/>
          </w:tcPr>
          <w:p>
            <w:pPr>
              <w:spacing w:line="380" w:lineRule="exact"/>
              <w:rPr>
                <w:rFonts w:eastAsiaTheme="minorEastAsia"/>
                <w:szCs w:val="21"/>
              </w:rPr>
            </w:pPr>
            <w:r>
              <w:rPr>
                <w:rFonts w:eastAsiaTheme="minorEastAsia"/>
                <w:szCs w:val="21"/>
              </w:rPr>
              <w:t>12100000400000624D</w:t>
            </w:r>
          </w:p>
        </w:tc>
        <w:tc>
          <w:tcPr>
            <w:tcW w:w="1559" w:type="dxa"/>
          </w:tcPr>
          <w:p>
            <w:pPr>
              <w:spacing w:line="380" w:lineRule="exact"/>
              <w:rPr>
                <w:rFonts w:eastAsiaTheme="minorEastAsia"/>
                <w:szCs w:val="21"/>
              </w:rPr>
            </w:pPr>
            <w:r>
              <w:rPr>
                <w:rFonts w:eastAsiaTheme="minorEastAsia"/>
                <w:szCs w:val="21"/>
              </w:rPr>
              <w:t>银行账号：</w:t>
            </w:r>
          </w:p>
        </w:tc>
        <w:tc>
          <w:tcPr>
            <w:tcW w:w="3195" w:type="dxa"/>
          </w:tcPr>
          <w:p>
            <w:pPr>
              <w:spacing w:line="380" w:lineRule="exact"/>
              <w:rPr>
                <w:rFonts w:eastAsiaTheme="minorEastAsia"/>
                <w:szCs w:val="21"/>
              </w:rPr>
            </w:pPr>
            <w:r>
              <w:rPr>
                <w:rFonts w:eastAsiaTheme="minorEastAsia"/>
                <w:szCs w:val="21"/>
              </w:rPr>
              <w:t>0200004509089131550</w:t>
            </w:r>
          </w:p>
        </w:tc>
      </w:tr>
      <w:tr>
        <w:tblPrEx>
          <w:tblCellMar>
            <w:top w:w="0" w:type="dxa"/>
            <w:left w:w="108" w:type="dxa"/>
            <w:bottom w:w="0" w:type="dxa"/>
            <w:right w:w="108" w:type="dxa"/>
          </w:tblCellMar>
        </w:tblPrEx>
        <w:tc>
          <w:tcPr>
            <w:tcW w:w="1555" w:type="dxa"/>
          </w:tcPr>
          <w:p>
            <w:pPr>
              <w:spacing w:line="380" w:lineRule="exact"/>
              <w:rPr>
                <w:rFonts w:eastAsiaTheme="minorEastAsia"/>
                <w:szCs w:val="21"/>
              </w:rPr>
            </w:pPr>
            <w:r>
              <w:rPr>
                <w:rFonts w:eastAsiaTheme="minorEastAsia"/>
                <w:szCs w:val="21"/>
              </w:rPr>
              <w:t xml:space="preserve">项目负责人：                         </w:t>
            </w:r>
          </w:p>
        </w:tc>
        <w:tc>
          <w:tcPr>
            <w:tcW w:w="2551" w:type="dxa"/>
          </w:tcPr>
          <w:p>
            <w:pPr>
              <w:spacing w:line="380" w:lineRule="exact"/>
              <w:rPr>
                <w:rFonts w:eastAsiaTheme="minorEastAsia"/>
                <w:szCs w:val="21"/>
              </w:rPr>
            </w:pPr>
          </w:p>
        </w:tc>
        <w:tc>
          <w:tcPr>
            <w:tcW w:w="1559" w:type="dxa"/>
          </w:tcPr>
          <w:p>
            <w:pPr>
              <w:spacing w:line="380" w:lineRule="exact"/>
              <w:rPr>
                <w:rFonts w:eastAsiaTheme="minorEastAsia"/>
                <w:szCs w:val="21"/>
              </w:rPr>
            </w:pPr>
            <w:r>
              <w:rPr>
                <w:rFonts w:eastAsiaTheme="minorEastAsia"/>
                <w:szCs w:val="21"/>
              </w:rPr>
              <w:t>联系人：</w:t>
            </w:r>
          </w:p>
        </w:tc>
        <w:tc>
          <w:tcPr>
            <w:tcW w:w="3195" w:type="dxa"/>
          </w:tcPr>
          <w:p>
            <w:pPr>
              <w:spacing w:line="380" w:lineRule="exact"/>
              <w:rPr>
                <w:rFonts w:eastAsiaTheme="minorEastAsia"/>
                <w:szCs w:val="21"/>
              </w:rPr>
            </w:pPr>
          </w:p>
        </w:tc>
      </w:tr>
      <w:tr>
        <w:tblPrEx>
          <w:tblCellMar>
            <w:top w:w="0" w:type="dxa"/>
            <w:left w:w="108" w:type="dxa"/>
            <w:bottom w:w="0" w:type="dxa"/>
            <w:right w:w="108" w:type="dxa"/>
          </w:tblCellMar>
        </w:tblPrEx>
        <w:tc>
          <w:tcPr>
            <w:tcW w:w="1555" w:type="dxa"/>
          </w:tcPr>
          <w:p>
            <w:pPr>
              <w:spacing w:line="380" w:lineRule="exact"/>
              <w:rPr>
                <w:rFonts w:eastAsiaTheme="minorEastAsia"/>
                <w:szCs w:val="21"/>
              </w:rPr>
            </w:pPr>
            <w:r>
              <w:rPr>
                <w:rFonts w:eastAsiaTheme="minorEastAsia"/>
                <w:szCs w:val="21"/>
              </w:rPr>
              <w:t>联系方式：</w:t>
            </w:r>
          </w:p>
        </w:tc>
        <w:tc>
          <w:tcPr>
            <w:tcW w:w="2551" w:type="dxa"/>
          </w:tcPr>
          <w:p>
            <w:pPr>
              <w:spacing w:line="380" w:lineRule="exact"/>
              <w:rPr>
                <w:rFonts w:eastAsiaTheme="minorEastAsia"/>
                <w:szCs w:val="21"/>
              </w:rPr>
            </w:pPr>
          </w:p>
        </w:tc>
        <w:tc>
          <w:tcPr>
            <w:tcW w:w="1559" w:type="dxa"/>
          </w:tcPr>
          <w:p>
            <w:pPr>
              <w:spacing w:line="380" w:lineRule="exact"/>
              <w:rPr>
                <w:rFonts w:eastAsiaTheme="minorEastAsia"/>
                <w:szCs w:val="21"/>
              </w:rPr>
            </w:pPr>
            <w:r>
              <w:rPr>
                <w:rFonts w:eastAsiaTheme="minorEastAsia"/>
                <w:szCs w:val="21"/>
              </w:rPr>
              <w:t>联系方式：</w:t>
            </w:r>
          </w:p>
        </w:tc>
        <w:tc>
          <w:tcPr>
            <w:tcW w:w="3195" w:type="dxa"/>
          </w:tcPr>
          <w:p>
            <w:pPr>
              <w:spacing w:line="380" w:lineRule="exact"/>
              <w:ind w:left="34" w:hanging="33" w:hangingChars="16"/>
              <w:rPr>
                <w:rFonts w:eastAsiaTheme="minorEastAsia"/>
                <w:szCs w:val="21"/>
              </w:rPr>
            </w:pPr>
          </w:p>
        </w:tc>
      </w:tr>
      <w:tr>
        <w:tblPrEx>
          <w:tblCellMar>
            <w:top w:w="0" w:type="dxa"/>
            <w:left w:w="108" w:type="dxa"/>
            <w:bottom w:w="0" w:type="dxa"/>
            <w:right w:w="108" w:type="dxa"/>
          </w:tblCellMar>
        </w:tblPrEx>
        <w:tc>
          <w:tcPr>
            <w:tcW w:w="1555" w:type="dxa"/>
          </w:tcPr>
          <w:p>
            <w:pPr>
              <w:spacing w:line="380" w:lineRule="exact"/>
              <w:rPr>
                <w:rFonts w:eastAsiaTheme="minorEastAsia"/>
                <w:szCs w:val="21"/>
              </w:rPr>
            </w:pPr>
            <w:r>
              <w:rPr>
                <w:rFonts w:eastAsiaTheme="minorEastAsia"/>
                <w:szCs w:val="21"/>
              </w:rPr>
              <w:t xml:space="preserve">传真：                     </w:t>
            </w:r>
          </w:p>
        </w:tc>
        <w:tc>
          <w:tcPr>
            <w:tcW w:w="2551" w:type="dxa"/>
          </w:tcPr>
          <w:p>
            <w:pPr>
              <w:spacing w:line="380" w:lineRule="exact"/>
              <w:rPr>
                <w:rFonts w:eastAsiaTheme="minorEastAsia"/>
                <w:sz w:val="18"/>
                <w:szCs w:val="18"/>
              </w:rPr>
            </w:pPr>
          </w:p>
        </w:tc>
        <w:tc>
          <w:tcPr>
            <w:tcW w:w="1559" w:type="dxa"/>
          </w:tcPr>
          <w:p>
            <w:pPr>
              <w:spacing w:line="380" w:lineRule="exact"/>
              <w:rPr>
                <w:rFonts w:eastAsiaTheme="minorEastAsia"/>
                <w:szCs w:val="21"/>
              </w:rPr>
            </w:pPr>
            <w:r>
              <w:rPr>
                <w:rFonts w:eastAsiaTheme="minorEastAsia"/>
                <w:szCs w:val="21"/>
              </w:rPr>
              <w:t>电子邮箱：</w:t>
            </w:r>
          </w:p>
        </w:tc>
        <w:tc>
          <w:tcPr>
            <w:tcW w:w="3195" w:type="dxa"/>
          </w:tcPr>
          <w:p>
            <w:pPr>
              <w:spacing w:line="380" w:lineRule="exact"/>
              <w:rPr>
                <w:rFonts w:eastAsiaTheme="minorEastAsia"/>
                <w:szCs w:val="21"/>
              </w:rPr>
            </w:pPr>
          </w:p>
        </w:tc>
      </w:tr>
      <w:tr>
        <w:tblPrEx>
          <w:tblCellMar>
            <w:top w:w="0" w:type="dxa"/>
            <w:left w:w="108" w:type="dxa"/>
            <w:bottom w:w="0" w:type="dxa"/>
            <w:right w:w="108" w:type="dxa"/>
          </w:tblCellMar>
        </w:tblPrEx>
        <w:tc>
          <w:tcPr>
            <w:tcW w:w="1555" w:type="dxa"/>
          </w:tcPr>
          <w:p>
            <w:pPr>
              <w:spacing w:line="380" w:lineRule="exact"/>
              <w:rPr>
                <w:rFonts w:eastAsiaTheme="minorEastAsia"/>
                <w:szCs w:val="21"/>
              </w:rPr>
            </w:pPr>
            <w:r>
              <w:rPr>
                <w:rFonts w:eastAsiaTheme="minorEastAsia"/>
                <w:szCs w:val="21"/>
              </w:rPr>
              <w:t>签字地点：</w:t>
            </w:r>
          </w:p>
        </w:tc>
        <w:tc>
          <w:tcPr>
            <w:tcW w:w="2551" w:type="dxa"/>
          </w:tcPr>
          <w:p>
            <w:pPr>
              <w:spacing w:line="380" w:lineRule="exact"/>
              <w:rPr>
                <w:rFonts w:eastAsiaTheme="minorEastAsia"/>
                <w:szCs w:val="21"/>
              </w:rPr>
            </w:pPr>
          </w:p>
        </w:tc>
        <w:tc>
          <w:tcPr>
            <w:tcW w:w="1559" w:type="dxa"/>
          </w:tcPr>
          <w:p>
            <w:pPr>
              <w:spacing w:line="380" w:lineRule="exact"/>
              <w:rPr>
                <w:rFonts w:eastAsiaTheme="minorEastAsia"/>
                <w:szCs w:val="21"/>
              </w:rPr>
            </w:pPr>
            <w:r>
              <w:rPr>
                <w:rFonts w:eastAsiaTheme="minorEastAsia"/>
                <w:szCs w:val="21"/>
              </w:rPr>
              <w:t>签字日期：</w:t>
            </w:r>
          </w:p>
        </w:tc>
        <w:tc>
          <w:tcPr>
            <w:tcW w:w="3195" w:type="dxa"/>
          </w:tcPr>
          <w:p>
            <w:pPr>
              <w:spacing w:line="380" w:lineRule="exact"/>
              <w:rPr>
                <w:rFonts w:eastAsiaTheme="minorEastAsia"/>
                <w:szCs w:val="21"/>
              </w:rPr>
            </w:pPr>
          </w:p>
        </w:tc>
      </w:tr>
    </w:tbl>
    <w:p>
      <w:pPr>
        <w:spacing w:before="156" w:beforeLines="50" w:after="156" w:afterLines="50" w:line="380" w:lineRule="exact"/>
        <w:rPr>
          <w:rFonts w:eastAsiaTheme="minorEastAsia"/>
          <w:b/>
          <w:bCs/>
          <w:sz w:val="24"/>
          <w:u w:val="single"/>
        </w:rPr>
      </w:pPr>
      <w:r>
        <w:rPr>
          <w:rFonts w:eastAsiaTheme="minorEastAsia"/>
          <w:b/>
          <w:bCs/>
          <w:sz w:val="24"/>
        </w:rPr>
        <w:t>乙方（盖章）：</w:t>
      </w:r>
    </w:p>
    <w:tbl>
      <w:tblPr>
        <w:tblStyle w:val="48"/>
        <w:tblW w:w="8926" w:type="dxa"/>
        <w:tblInd w:w="108" w:type="dxa"/>
        <w:tblLayout w:type="autofit"/>
        <w:tblCellMar>
          <w:top w:w="0" w:type="dxa"/>
          <w:left w:w="108" w:type="dxa"/>
          <w:bottom w:w="0" w:type="dxa"/>
          <w:right w:w="108" w:type="dxa"/>
        </w:tblCellMar>
      </w:tblPr>
      <w:tblGrid>
        <w:gridCol w:w="2122"/>
        <w:gridCol w:w="1984"/>
        <w:gridCol w:w="1559"/>
        <w:gridCol w:w="3261"/>
      </w:tblGrid>
      <w:tr>
        <w:tblPrEx>
          <w:tblCellMar>
            <w:top w:w="0" w:type="dxa"/>
            <w:left w:w="108" w:type="dxa"/>
            <w:bottom w:w="0" w:type="dxa"/>
            <w:right w:w="108" w:type="dxa"/>
          </w:tblCellMar>
        </w:tblPrEx>
        <w:tc>
          <w:tcPr>
            <w:tcW w:w="4106" w:type="dxa"/>
            <w:gridSpan w:val="2"/>
          </w:tcPr>
          <w:p>
            <w:pPr>
              <w:spacing w:line="380" w:lineRule="exact"/>
              <w:rPr>
                <w:rFonts w:eastAsiaTheme="minorEastAsia"/>
                <w:szCs w:val="21"/>
              </w:rPr>
            </w:pPr>
            <w:r>
              <w:rPr>
                <w:rFonts w:eastAsiaTheme="minorEastAsia"/>
                <w:szCs w:val="21"/>
              </w:rPr>
              <w:t>单位名称：</w:t>
            </w:r>
          </w:p>
        </w:tc>
        <w:tc>
          <w:tcPr>
            <w:tcW w:w="1559" w:type="dxa"/>
          </w:tcPr>
          <w:p>
            <w:pPr>
              <w:spacing w:line="380" w:lineRule="exact"/>
              <w:rPr>
                <w:rFonts w:eastAsiaTheme="minorEastAsia"/>
                <w:szCs w:val="21"/>
              </w:rPr>
            </w:pPr>
            <w:r>
              <w:rPr>
                <w:rFonts w:eastAsiaTheme="minorEastAsia"/>
                <w:szCs w:val="21"/>
              </w:rPr>
              <w:t>法定代表人：</w:t>
            </w:r>
          </w:p>
        </w:tc>
        <w:tc>
          <w:tcPr>
            <w:tcW w:w="3261" w:type="dxa"/>
          </w:tcPr>
          <w:p>
            <w:pPr>
              <w:spacing w:line="380" w:lineRule="exact"/>
              <w:rPr>
                <w:rFonts w:eastAsiaTheme="minorEastAsia"/>
                <w:szCs w:val="21"/>
              </w:rPr>
            </w:pPr>
          </w:p>
        </w:tc>
      </w:tr>
      <w:tr>
        <w:tblPrEx>
          <w:tblCellMar>
            <w:top w:w="0" w:type="dxa"/>
            <w:left w:w="108" w:type="dxa"/>
            <w:bottom w:w="0" w:type="dxa"/>
            <w:right w:w="108" w:type="dxa"/>
          </w:tblCellMar>
        </w:tblPrEx>
        <w:tc>
          <w:tcPr>
            <w:tcW w:w="4106" w:type="dxa"/>
            <w:gridSpan w:val="2"/>
          </w:tcPr>
          <w:p>
            <w:pPr>
              <w:spacing w:line="380" w:lineRule="exact"/>
              <w:rPr>
                <w:rFonts w:eastAsiaTheme="minorEastAsia"/>
                <w:szCs w:val="21"/>
              </w:rPr>
            </w:pPr>
            <w:r>
              <w:rPr>
                <w:rFonts w:eastAsiaTheme="minorEastAsia"/>
                <w:szCs w:val="21"/>
              </w:rPr>
              <w:t>地址：</w:t>
            </w:r>
          </w:p>
        </w:tc>
        <w:tc>
          <w:tcPr>
            <w:tcW w:w="1559" w:type="dxa"/>
          </w:tcPr>
          <w:p>
            <w:pPr>
              <w:spacing w:line="380" w:lineRule="exact"/>
              <w:rPr>
                <w:rFonts w:eastAsiaTheme="minorEastAsia"/>
                <w:szCs w:val="21"/>
              </w:rPr>
            </w:pPr>
            <w:r>
              <w:rPr>
                <w:rFonts w:eastAsiaTheme="minorEastAsia"/>
                <w:szCs w:val="21"/>
              </w:rPr>
              <w:t>开户银行：</w:t>
            </w:r>
          </w:p>
        </w:tc>
        <w:tc>
          <w:tcPr>
            <w:tcW w:w="3261" w:type="dxa"/>
          </w:tcPr>
          <w:p>
            <w:pPr>
              <w:spacing w:line="380" w:lineRule="exact"/>
              <w:rPr>
                <w:rFonts w:eastAsiaTheme="minorEastAsia"/>
                <w:szCs w:val="21"/>
              </w:rPr>
            </w:pPr>
          </w:p>
        </w:tc>
      </w:tr>
      <w:tr>
        <w:tblPrEx>
          <w:tblCellMar>
            <w:top w:w="0" w:type="dxa"/>
            <w:left w:w="108" w:type="dxa"/>
            <w:bottom w:w="0" w:type="dxa"/>
            <w:right w:w="108" w:type="dxa"/>
          </w:tblCellMar>
        </w:tblPrEx>
        <w:tc>
          <w:tcPr>
            <w:tcW w:w="2122" w:type="dxa"/>
          </w:tcPr>
          <w:p>
            <w:pPr>
              <w:spacing w:line="380" w:lineRule="exact"/>
              <w:rPr>
                <w:rFonts w:eastAsiaTheme="minorEastAsia"/>
                <w:szCs w:val="21"/>
              </w:rPr>
            </w:pPr>
            <w:r>
              <w:rPr>
                <w:rFonts w:eastAsiaTheme="minorEastAsia"/>
                <w:szCs w:val="21"/>
              </w:rPr>
              <w:t xml:space="preserve">被授权人（联系人）：                       </w:t>
            </w:r>
          </w:p>
        </w:tc>
        <w:tc>
          <w:tcPr>
            <w:tcW w:w="1984" w:type="dxa"/>
          </w:tcPr>
          <w:p>
            <w:pPr>
              <w:spacing w:line="380" w:lineRule="exact"/>
              <w:rPr>
                <w:rFonts w:eastAsiaTheme="minorEastAsia"/>
                <w:szCs w:val="21"/>
              </w:rPr>
            </w:pPr>
          </w:p>
        </w:tc>
        <w:tc>
          <w:tcPr>
            <w:tcW w:w="1559" w:type="dxa"/>
          </w:tcPr>
          <w:p>
            <w:pPr>
              <w:spacing w:line="380" w:lineRule="exact"/>
              <w:rPr>
                <w:rFonts w:eastAsiaTheme="minorEastAsia"/>
                <w:szCs w:val="21"/>
              </w:rPr>
            </w:pPr>
            <w:r>
              <w:rPr>
                <w:rFonts w:eastAsiaTheme="minorEastAsia"/>
                <w:szCs w:val="21"/>
              </w:rPr>
              <w:t>银行账号：</w:t>
            </w:r>
          </w:p>
        </w:tc>
        <w:tc>
          <w:tcPr>
            <w:tcW w:w="3261" w:type="dxa"/>
          </w:tcPr>
          <w:p>
            <w:pPr>
              <w:spacing w:line="380" w:lineRule="exact"/>
              <w:rPr>
                <w:rFonts w:eastAsiaTheme="minorEastAsia"/>
                <w:szCs w:val="21"/>
              </w:rPr>
            </w:pPr>
          </w:p>
        </w:tc>
      </w:tr>
      <w:tr>
        <w:tblPrEx>
          <w:tblCellMar>
            <w:top w:w="0" w:type="dxa"/>
            <w:left w:w="108" w:type="dxa"/>
            <w:bottom w:w="0" w:type="dxa"/>
            <w:right w:w="108" w:type="dxa"/>
          </w:tblCellMar>
        </w:tblPrEx>
        <w:tc>
          <w:tcPr>
            <w:tcW w:w="2122" w:type="dxa"/>
          </w:tcPr>
          <w:p>
            <w:pPr>
              <w:spacing w:line="380" w:lineRule="exact"/>
              <w:rPr>
                <w:rFonts w:eastAsiaTheme="minorEastAsia"/>
                <w:b/>
                <w:szCs w:val="21"/>
              </w:rPr>
            </w:pPr>
            <w:r>
              <w:rPr>
                <w:rFonts w:eastAsiaTheme="minorEastAsia"/>
                <w:b/>
                <w:szCs w:val="21"/>
              </w:rPr>
              <w:t>联系方式（座机）：</w:t>
            </w:r>
          </w:p>
        </w:tc>
        <w:tc>
          <w:tcPr>
            <w:tcW w:w="1984" w:type="dxa"/>
          </w:tcPr>
          <w:p>
            <w:pPr>
              <w:spacing w:line="380" w:lineRule="exact"/>
              <w:rPr>
                <w:rFonts w:eastAsiaTheme="minorEastAsia"/>
                <w:szCs w:val="21"/>
              </w:rPr>
            </w:pPr>
          </w:p>
        </w:tc>
        <w:tc>
          <w:tcPr>
            <w:tcW w:w="1559" w:type="dxa"/>
          </w:tcPr>
          <w:p>
            <w:pPr>
              <w:spacing w:line="380" w:lineRule="exact"/>
              <w:rPr>
                <w:rFonts w:eastAsiaTheme="minorEastAsia"/>
                <w:szCs w:val="21"/>
              </w:rPr>
            </w:pPr>
            <w:r>
              <w:rPr>
                <w:rFonts w:eastAsiaTheme="minorEastAsia"/>
                <w:szCs w:val="21"/>
              </w:rPr>
              <w:t>电子邮箱：</w:t>
            </w:r>
          </w:p>
        </w:tc>
        <w:tc>
          <w:tcPr>
            <w:tcW w:w="3261" w:type="dxa"/>
          </w:tcPr>
          <w:p>
            <w:pPr>
              <w:spacing w:line="380" w:lineRule="exact"/>
              <w:rPr>
                <w:rFonts w:eastAsiaTheme="minorEastAsia"/>
                <w:szCs w:val="21"/>
              </w:rPr>
            </w:pPr>
          </w:p>
        </w:tc>
      </w:tr>
      <w:tr>
        <w:tblPrEx>
          <w:tblCellMar>
            <w:top w:w="0" w:type="dxa"/>
            <w:left w:w="108" w:type="dxa"/>
            <w:bottom w:w="0" w:type="dxa"/>
            <w:right w:w="108" w:type="dxa"/>
          </w:tblCellMar>
        </w:tblPrEx>
        <w:tc>
          <w:tcPr>
            <w:tcW w:w="2122" w:type="dxa"/>
          </w:tcPr>
          <w:p>
            <w:pPr>
              <w:spacing w:line="380" w:lineRule="exact"/>
              <w:rPr>
                <w:rFonts w:eastAsiaTheme="minorEastAsia"/>
                <w:szCs w:val="21"/>
              </w:rPr>
            </w:pPr>
            <w:r>
              <w:rPr>
                <w:rFonts w:eastAsiaTheme="minorEastAsia"/>
                <w:szCs w:val="21"/>
              </w:rPr>
              <w:t xml:space="preserve">传真：                     </w:t>
            </w:r>
          </w:p>
        </w:tc>
        <w:tc>
          <w:tcPr>
            <w:tcW w:w="1984" w:type="dxa"/>
          </w:tcPr>
          <w:p>
            <w:pPr>
              <w:spacing w:line="380" w:lineRule="exact"/>
              <w:rPr>
                <w:rFonts w:eastAsiaTheme="minorEastAsia"/>
                <w:szCs w:val="21"/>
              </w:rPr>
            </w:pPr>
          </w:p>
        </w:tc>
        <w:tc>
          <w:tcPr>
            <w:tcW w:w="1559" w:type="dxa"/>
          </w:tcPr>
          <w:p>
            <w:pPr>
              <w:spacing w:line="380" w:lineRule="exact"/>
              <w:rPr>
                <w:rFonts w:eastAsiaTheme="minorEastAsia"/>
                <w:szCs w:val="21"/>
              </w:rPr>
            </w:pPr>
            <w:r>
              <w:rPr>
                <w:rFonts w:eastAsiaTheme="minorEastAsia"/>
                <w:szCs w:val="21"/>
              </w:rPr>
              <w:t>签字日期：</w:t>
            </w:r>
          </w:p>
        </w:tc>
        <w:tc>
          <w:tcPr>
            <w:tcW w:w="3261" w:type="dxa"/>
          </w:tcPr>
          <w:p>
            <w:pPr>
              <w:spacing w:line="380" w:lineRule="exact"/>
              <w:rPr>
                <w:rFonts w:eastAsiaTheme="minorEastAsia"/>
                <w:szCs w:val="21"/>
              </w:rPr>
            </w:pPr>
          </w:p>
        </w:tc>
      </w:tr>
    </w:tbl>
    <w:p>
      <w:pPr>
        <w:spacing w:before="156" w:beforeLines="50" w:after="156" w:afterLines="50" w:line="340" w:lineRule="exact"/>
        <w:ind w:firstLine="420" w:firstLineChars="200"/>
        <w:rPr>
          <w:rFonts w:eastAsiaTheme="minorEastAsia"/>
          <w:szCs w:val="21"/>
        </w:rPr>
      </w:pPr>
    </w:p>
    <w:p>
      <w:pPr>
        <w:adjustRightInd w:val="0"/>
        <w:snapToGrid w:val="0"/>
        <w:spacing w:line="360" w:lineRule="auto"/>
        <w:ind w:firstLine="480" w:firstLineChars="200"/>
        <w:rPr>
          <w:rFonts w:eastAsiaTheme="minorEastAsia"/>
          <w:sz w:val="24"/>
        </w:rPr>
      </w:pPr>
      <w:r>
        <w:rPr>
          <w:rFonts w:eastAsiaTheme="minorEastAsia"/>
          <w:sz w:val="24"/>
        </w:rPr>
        <w:t>清华大学于</w:t>
      </w:r>
      <w:r>
        <w:rPr>
          <w:rFonts w:eastAsiaTheme="minorEastAsia"/>
          <w:sz w:val="24"/>
          <w:u w:val="single"/>
        </w:rPr>
        <w:t xml:space="preserve"> </w:t>
      </w:r>
      <w:r>
        <w:rPr>
          <w:rFonts w:hint="eastAsia" w:eastAsiaTheme="minorEastAsia"/>
          <w:sz w:val="24"/>
          <w:u w:val="single"/>
        </w:rPr>
        <w:t xml:space="preserve">    </w:t>
      </w:r>
      <w:r>
        <w:rPr>
          <w:rFonts w:eastAsiaTheme="minorEastAsia"/>
          <w:sz w:val="24"/>
          <w:u w:val="single"/>
        </w:rPr>
        <w:t xml:space="preserve"> </w:t>
      </w:r>
      <w:r>
        <w:rPr>
          <w:rFonts w:eastAsiaTheme="minorEastAsia"/>
          <w:sz w:val="24"/>
        </w:rPr>
        <w:t>年</w:t>
      </w:r>
      <w:r>
        <w:rPr>
          <w:rFonts w:eastAsiaTheme="minorEastAsia"/>
          <w:sz w:val="24"/>
          <w:u w:val="single"/>
        </w:rPr>
        <w:t xml:space="preserve"> </w:t>
      </w:r>
      <w:r>
        <w:rPr>
          <w:rFonts w:hint="eastAsia" w:eastAsiaTheme="minorEastAsia"/>
          <w:sz w:val="24"/>
          <w:u w:val="single"/>
        </w:rPr>
        <w:t xml:space="preserve"> </w:t>
      </w:r>
      <w:r>
        <w:rPr>
          <w:rFonts w:eastAsiaTheme="minorEastAsia"/>
          <w:sz w:val="24"/>
        </w:rPr>
        <w:t>月</w:t>
      </w:r>
      <w:r>
        <w:rPr>
          <w:rFonts w:hint="eastAsia" w:eastAsiaTheme="minorEastAsia"/>
          <w:sz w:val="24"/>
          <w:u w:val="single"/>
        </w:rPr>
        <w:t xml:space="preserve">  </w:t>
      </w:r>
      <w:r>
        <w:rPr>
          <w:rFonts w:eastAsiaTheme="minorEastAsia"/>
          <w:sz w:val="24"/>
        </w:rPr>
        <w:t>日就</w:t>
      </w:r>
      <w:r>
        <w:rPr>
          <w:rFonts w:eastAsiaTheme="minorEastAsia"/>
          <w:sz w:val="24"/>
          <w:u w:val="single"/>
        </w:rPr>
        <w:t xml:space="preserve"> </w:t>
      </w:r>
      <w:r>
        <w:rPr>
          <w:rFonts w:hint="eastAsia" w:eastAsiaTheme="minorEastAsia"/>
          <w:sz w:val="24"/>
          <w:u w:val="single"/>
        </w:rPr>
        <w:t xml:space="preserve"> </w:t>
      </w:r>
      <w:r>
        <w:rPr>
          <w:rFonts w:eastAsiaTheme="minorEastAsia"/>
          <w:sz w:val="24"/>
          <w:u w:val="single"/>
        </w:rPr>
        <w:t xml:space="preserve"> </w:t>
      </w:r>
      <w:r>
        <w:rPr>
          <w:rFonts w:eastAsiaTheme="minorEastAsia"/>
          <w:sz w:val="24"/>
        </w:rPr>
        <w:t>项目进行</w:t>
      </w:r>
      <w:r>
        <w:rPr>
          <w:rFonts w:eastAsiaTheme="minorEastAsia"/>
          <w:sz w:val="24"/>
          <w:u w:val="single"/>
        </w:rPr>
        <w:t>公开招标/竞争性谈判/竞争性磋商/单一来源/其他采购方式</w:t>
      </w:r>
      <w:r>
        <w:rPr>
          <w:rFonts w:eastAsiaTheme="minorEastAsia"/>
          <w:sz w:val="24"/>
        </w:rPr>
        <w:t>采购，经评定乙方为</w:t>
      </w:r>
      <w:r>
        <w:rPr>
          <w:rFonts w:eastAsiaTheme="minorEastAsia"/>
          <w:sz w:val="24"/>
          <w:u w:val="single"/>
        </w:rPr>
        <w:t>中标/中选/成交单位</w:t>
      </w:r>
      <w:r>
        <w:rPr>
          <w:rFonts w:eastAsiaTheme="minorEastAsia"/>
          <w:sz w:val="24"/>
        </w:rPr>
        <w:t>。甲乙双方同意签署本合同，供双方共同遵守：</w:t>
      </w:r>
    </w:p>
    <w:p>
      <w:pPr>
        <w:adjustRightInd w:val="0"/>
        <w:snapToGrid w:val="0"/>
        <w:spacing w:line="360" w:lineRule="auto"/>
        <w:ind w:firstLine="480" w:firstLineChars="200"/>
        <w:rPr>
          <w:rFonts w:eastAsiaTheme="minorEastAsia"/>
          <w:sz w:val="24"/>
        </w:rPr>
      </w:pPr>
      <w:r>
        <w:rPr>
          <w:rFonts w:eastAsiaTheme="minorEastAsia"/>
          <w:sz w:val="24"/>
        </w:rPr>
        <w:t>第一条 合同货物</w:t>
      </w:r>
    </w:p>
    <w:p>
      <w:pPr>
        <w:adjustRightInd w:val="0"/>
        <w:snapToGrid w:val="0"/>
        <w:spacing w:line="360" w:lineRule="auto"/>
        <w:ind w:firstLine="480" w:firstLineChars="200"/>
        <w:rPr>
          <w:rFonts w:eastAsiaTheme="minorEastAsia"/>
          <w:bCs/>
          <w:sz w:val="24"/>
        </w:rPr>
      </w:pPr>
      <w:r>
        <w:rPr>
          <w:rFonts w:eastAsiaTheme="minorEastAsia"/>
          <w:bCs/>
          <w:sz w:val="24"/>
        </w:rPr>
        <w:t>乙方根据甲方要求提供以下货物：</w:t>
      </w:r>
    </w:p>
    <w:tbl>
      <w:tblPr>
        <w:tblStyle w:val="4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348"/>
        <w:gridCol w:w="2779"/>
        <w:gridCol w:w="904"/>
        <w:gridCol w:w="87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27" w:type="dxa"/>
          </w:tcPr>
          <w:p>
            <w:pPr>
              <w:spacing w:line="340" w:lineRule="exact"/>
              <w:jc w:val="center"/>
              <w:rPr>
                <w:rFonts w:eastAsiaTheme="minorEastAsia"/>
                <w:b/>
                <w:sz w:val="24"/>
              </w:rPr>
            </w:pPr>
            <w:r>
              <w:rPr>
                <w:rFonts w:eastAsiaTheme="minorEastAsia"/>
                <w:b/>
                <w:sz w:val="24"/>
              </w:rPr>
              <w:t>货物品名</w:t>
            </w:r>
          </w:p>
        </w:tc>
        <w:tc>
          <w:tcPr>
            <w:tcW w:w="1348" w:type="dxa"/>
          </w:tcPr>
          <w:p>
            <w:pPr>
              <w:spacing w:line="340" w:lineRule="exact"/>
              <w:jc w:val="center"/>
              <w:rPr>
                <w:rFonts w:eastAsiaTheme="minorEastAsia"/>
                <w:b/>
                <w:sz w:val="24"/>
              </w:rPr>
            </w:pPr>
            <w:r>
              <w:rPr>
                <w:rFonts w:eastAsiaTheme="minorEastAsia"/>
                <w:b/>
                <w:sz w:val="24"/>
              </w:rPr>
              <w:t>制造商</w:t>
            </w:r>
          </w:p>
        </w:tc>
        <w:tc>
          <w:tcPr>
            <w:tcW w:w="2779" w:type="dxa"/>
          </w:tcPr>
          <w:p>
            <w:pPr>
              <w:spacing w:line="340" w:lineRule="exact"/>
              <w:jc w:val="center"/>
              <w:rPr>
                <w:rFonts w:eastAsiaTheme="minorEastAsia"/>
                <w:b/>
                <w:sz w:val="24"/>
              </w:rPr>
            </w:pPr>
            <w:r>
              <w:rPr>
                <w:rFonts w:eastAsiaTheme="minorEastAsia"/>
                <w:b/>
                <w:sz w:val="24"/>
              </w:rPr>
              <w:t>型号</w:t>
            </w:r>
          </w:p>
        </w:tc>
        <w:tc>
          <w:tcPr>
            <w:tcW w:w="904" w:type="dxa"/>
          </w:tcPr>
          <w:p>
            <w:pPr>
              <w:spacing w:line="340" w:lineRule="exact"/>
              <w:jc w:val="center"/>
              <w:rPr>
                <w:rFonts w:eastAsiaTheme="minorEastAsia"/>
                <w:b/>
                <w:sz w:val="24"/>
              </w:rPr>
            </w:pPr>
            <w:r>
              <w:rPr>
                <w:rFonts w:eastAsiaTheme="minorEastAsia"/>
                <w:b/>
                <w:sz w:val="24"/>
              </w:rPr>
              <w:t>单价</w:t>
            </w:r>
          </w:p>
          <w:p>
            <w:pPr>
              <w:spacing w:line="340" w:lineRule="exact"/>
              <w:jc w:val="center"/>
              <w:rPr>
                <w:rFonts w:eastAsiaTheme="minorEastAsia"/>
                <w:b/>
                <w:sz w:val="24"/>
              </w:rPr>
            </w:pPr>
            <w:r>
              <w:rPr>
                <w:rFonts w:eastAsiaTheme="minorEastAsia"/>
                <w:b/>
                <w:sz w:val="24"/>
              </w:rPr>
              <w:t>（元）</w:t>
            </w:r>
          </w:p>
        </w:tc>
        <w:tc>
          <w:tcPr>
            <w:tcW w:w="877" w:type="dxa"/>
          </w:tcPr>
          <w:p>
            <w:pPr>
              <w:spacing w:line="340" w:lineRule="exact"/>
              <w:jc w:val="center"/>
              <w:rPr>
                <w:rFonts w:eastAsiaTheme="minorEastAsia"/>
                <w:b/>
                <w:sz w:val="24"/>
              </w:rPr>
            </w:pPr>
            <w:r>
              <w:rPr>
                <w:rFonts w:eastAsiaTheme="minorEastAsia"/>
                <w:b/>
                <w:sz w:val="24"/>
              </w:rPr>
              <w:t>数量</w:t>
            </w:r>
          </w:p>
        </w:tc>
        <w:tc>
          <w:tcPr>
            <w:tcW w:w="1007" w:type="dxa"/>
          </w:tcPr>
          <w:p>
            <w:pPr>
              <w:spacing w:line="340" w:lineRule="exact"/>
              <w:jc w:val="center"/>
              <w:rPr>
                <w:rFonts w:eastAsiaTheme="minorEastAsia"/>
                <w:b/>
                <w:sz w:val="24"/>
              </w:rPr>
            </w:pPr>
            <w:r>
              <w:rPr>
                <w:rFonts w:eastAsiaTheme="minorEastAsia"/>
                <w:b/>
                <w:sz w:val="24"/>
              </w:rPr>
              <w:t>总价</w:t>
            </w:r>
          </w:p>
          <w:p>
            <w:pPr>
              <w:spacing w:line="340" w:lineRule="exact"/>
              <w:jc w:val="center"/>
              <w:rPr>
                <w:rFonts w:eastAsiaTheme="minorEastAsia"/>
                <w:b/>
                <w:sz w:val="24"/>
              </w:rPr>
            </w:pPr>
            <w:r>
              <w:rPr>
                <w:rFonts w:eastAsiaTheme="minorEastAsia"/>
                <w:b/>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27" w:type="dxa"/>
          </w:tcPr>
          <w:p>
            <w:pPr>
              <w:spacing w:line="340" w:lineRule="exact"/>
              <w:jc w:val="center"/>
              <w:rPr>
                <w:rFonts w:eastAsiaTheme="minorEastAsia"/>
                <w:bCs/>
                <w:sz w:val="24"/>
              </w:rPr>
            </w:pPr>
            <w:r>
              <w:rPr>
                <w:rFonts w:hint="eastAsia" w:eastAsiaTheme="minorEastAsia"/>
                <w:bCs/>
                <w:sz w:val="24"/>
              </w:rPr>
              <w:t>黑色</w:t>
            </w:r>
            <w:r>
              <w:rPr>
                <w:rFonts w:eastAsiaTheme="minorEastAsia"/>
                <w:bCs/>
                <w:sz w:val="24"/>
              </w:rPr>
              <w:t>环保袋</w:t>
            </w:r>
          </w:p>
        </w:tc>
        <w:tc>
          <w:tcPr>
            <w:tcW w:w="1348" w:type="dxa"/>
          </w:tcPr>
          <w:p>
            <w:pPr>
              <w:spacing w:line="340" w:lineRule="exact"/>
              <w:jc w:val="center"/>
              <w:rPr>
                <w:rFonts w:eastAsiaTheme="minorEastAsia"/>
                <w:bCs/>
                <w:sz w:val="24"/>
              </w:rPr>
            </w:pPr>
          </w:p>
        </w:tc>
        <w:tc>
          <w:tcPr>
            <w:tcW w:w="2779" w:type="dxa"/>
          </w:tcPr>
          <w:p>
            <w:pPr>
              <w:spacing w:line="340" w:lineRule="exact"/>
              <w:jc w:val="center"/>
              <w:rPr>
                <w:rFonts w:eastAsiaTheme="minorEastAsia"/>
                <w:bCs/>
                <w:sz w:val="24"/>
              </w:rPr>
            </w:pPr>
          </w:p>
        </w:tc>
        <w:tc>
          <w:tcPr>
            <w:tcW w:w="904" w:type="dxa"/>
          </w:tcPr>
          <w:p>
            <w:pPr>
              <w:spacing w:line="340" w:lineRule="exact"/>
              <w:jc w:val="center"/>
              <w:rPr>
                <w:rFonts w:eastAsiaTheme="minorEastAsia"/>
                <w:bCs/>
                <w:sz w:val="24"/>
              </w:rPr>
            </w:pPr>
          </w:p>
        </w:tc>
        <w:tc>
          <w:tcPr>
            <w:tcW w:w="877" w:type="dxa"/>
          </w:tcPr>
          <w:p>
            <w:pPr>
              <w:spacing w:line="340" w:lineRule="exact"/>
              <w:jc w:val="center"/>
              <w:rPr>
                <w:rFonts w:eastAsiaTheme="minorEastAsia"/>
                <w:bCs/>
                <w:sz w:val="24"/>
              </w:rPr>
            </w:pPr>
            <w:r>
              <w:rPr>
                <w:rFonts w:hint="eastAsia" w:eastAsiaTheme="minorEastAsia"/>
                <w:bCs/>
                <w:sz w:val="24"/>
              </w:rPr>
              <w:t>13000</w:t>
            </w:r>
          </w:p>
        </w:tc>
        <w:tc>
          <w:tcPr>
            <w:tcW w:w="1007" w:type="dxa"/>
          </w:tcPr>
          <w:p>
            <w:pPr>
              <w:spacing w:line="340" w:lineRule="exact"/>
              <w:jc w:val="center"/>
              <w:rPr>
                <w:rFonts w:eastAsiaTheme="minorEastAsia"/>
                <w:bCs/>
                <w:sz w:val="24"/>
              </w:rPr>
            </w:pPr>
          </w:p>
        </w:tc>
      </w:tr>
    </w:tbl>
    <w:p>
      <w:pPr>
        <w:adjustRightInd w:val="0"/>
        <w:spacing w:line="360" w:lineRule="auto"/>
        <w:ind w:firstLine="480" w:firstLineChars="200"/>
        <w:rPr>
          <w:rFonts w:eastAsiaTheme="minorEastAsia"/>
          <w:bCs/>
          <w:sz w:val="24"/>
        </w:rPr>
      </w:pPr>
      <w:r>
        <w:rPr>
          <w:rFonts w:eastAsiaTheme="minorEastAsia"/>
          <w:bCs/>
          <w:sz w:val="24"/>
        </w:rPr>
        <w:t>合同货物性能指标的详细描述应与开标一览表和投标分项报价表保持一致，合同其他内容应与中标文件、磋商或谈判成交记录保持一致。有关货物的配置、技术指标或者技术协议详见附件（如有）。</w:t>
      </w:r>
    </w:p>
    <w:p>
      <w:pPr>
        <w:adjustRightInd w:val="0"/>
        <w:spacing w:line="360" w:lineRule="auto"/>
        <w:ind w:firstLine="480" w:firstLineChars="200"/>
        <w:rPr>
          <w:rFonts w:eastAsiaTheme="minorEastAsia"/>
          <w:sz w:val="24"/>
        </w:rPr>
      </w:pPr>
      <w:r>
        <w:rPr>
          <w:rFonts w:eastAsiaTheme="minorEastAsia"/>
          <w:sz w:val="24"/>
        </w:rPr>
        <w:t>第二条 货物质量</w:t>
      </w:r>
    </w:p>
    <w:p>
      <w:pPr>
        <w:adjustRightInd w:val="0"/>
        <w:spacing w:line="360" w:lineRule="auto"/>
        <w:ind w:firstLine="480" w:firstLineChars="200"/>
        <w:rPr>
          <w:rFonts w:eastAsiaTheme="minorEastAsia"/>
          <w:bCs/>
          <w:sz w:val="24"/>
        </w:rPr>
      </w:pPr>
      <w:r>
        <w:rPr>
          <w:rFonts w:eastAsiaTheme="minorEastAsia"/>
          <w:bCs/>
          <w:sz w:val="24"/>
        </w:rPr>
        <w:t>2.1乙方应交付全新的并符合国家相关质量、节能、环保标准和规范要求的货物。</w:t>
      </w:r>
    </w:p>
    <w:p>
      <w:pPr>
        <w:adjustRightInd w:val="0"/>
        <w:spacing w:line="360" w:lineRule="auto"/>
        <w:ind w:firstLine="480" w:firstLineChars="200"/>
        <w:rPr>
          <w:rFonts w:eastAsiaTheme="minorEastAsia"/>
          <w:bCs/>
          <w:sz w:val="24"/>
        </w:rPr>
      </w:pPr>
      <w:r>
        <w:rPr>
          <w:rFonts w:eastAsiaTheme="minorEastAsia"/>
          <w:bCs/>
          <w:sz w:val="24"/>
        </w:rPr>
        <w:t>2.2乙方提供样品的，样品应封存保管。乙方提供的样品质量说明为本合同不可分割的组成部分。乙方交付的货物应当与样品及其说明的质量相同。</w:t>
      </w:r>
    </w:p>
    <w:p>
      <w:pPr>
        <w:adjustRightInd w:val="0"/>
        <w:spacing w:line="360" w:lineRule="auto"/>
        <w:ind w:firstLine="480" w:firstLineChars="200"/>
        <w:rPr>
          <w:rFonts w:eastAsiaTheme="minorEastAsia"/>
          <w:bCs/>
          <w:sz w:val="24"/>
        </w:rPr>
      </w:pPr>
      <w:r>
        <w:rPr>
          <w:rFonts w:eastAsiaTheme="minorEastAsia"/>
          <w:bCs/>
          <w:sz w:val="24"/>
        </w:rPr>
        <w:t>2.3乙方提供的样品有隐蔽瑕疵的，即使交付的货物与样品相同，乙方交付的货物质量仍然应当符合同种物的通常标准。</w:t>
      </w:r>
    </w:p>
    <w:p>
      <w:pPr>
        <w:adjustRightInd w:val="0"/>
        <w:snapToGrid w:val="0"/>
        <w:spacing w:line="360" w:lineRule="auto"/>
        <w:ind w:firstLine="480" w:firstLineChars="200"/>
        <w:rPr>
          <w:rFonts w:eastAsiaTheme="minorEastAsia"/>
          <w:sz w:val="24"/>
        </w:rPr>
      </w:pPr>
      <w:r>
        <w:rPr>
          <w:rFonts w:eastAsiaTheme="minorEastAsia"/>
          <w:sz w:val="24"/>
        </w:rPr>
        <w:t>第三条 合同价款</w:t>
      </w:r>
    </w:p>
    <w:p>
      <w:pPr>
        <w:adjustRightInd w:val="0"/>
        <w:spacing w:line="360" w:lineRule="auto"/>
        <w:ind w:firstLine="480" w:firstLineChars="200"/>
        <w:rPr>
          <w:rFonts w:eastAsiaTheme="minorEastAsia"/>
          <w:bCs/>
          <w:sz w:val="24"/>
        </w:rPr>
      </w:pPr>
      <w:r>
        <w:rPr>
          <w:rFonts w:eastAsiaTheme="minorEastAsia"/>
          <w:bCs/>
          <w:sz w:val="24"/>
        </w:rPr>
        <w:t>3.1合同价款为￥</w:t>
      </w:r>
      <w:r>
        <w:rPr>
          <w:rFonts w:eastAsiaTheme="minorEastAsia"/>
          <w:bCs/>
          <w:sz w:val="24"/>
          <w:u w:val="single"/>
        </w:rPr>
        <w:t xml:space="preserve"> </w:t>
      </w:r>
      <w:r>
        <w:rPr>
          <w:rFonts w:eastAsiaTheme="minorEastAsia"/>
          <w:bCs/>
          <w:sz w:val="24"/>
        </w:rPr>
        <w:t>元（大写：人民币</w:t>
      </w:r>
      <w:r>
        <w:rPr>
          <w:rFonts w:hint="eastAsia" w:eastAsiaTheme="minorEastAsia"/>
          <w:bCs/>
          <w:sz w:val="24"/>
          <w:u w:val="single"/>
        </w:rPr>
        <w:t xml:space="preserve">  </w:t>
      </w:r>
      <w:r>
        <w:rPr>
          <w:rFonts w:eastAsiaTheme="minorEastAsia"/>
          <w:bCs/>
          <w:sz w:val="24"/>
        </w:rPr>
        <w:t>元）。</w:t>
      </w:r>
    </w:p>
    <w:p>
      <w:pPr>
        <w:adjustRightInd w:val="0"/>
        <w:spacing w:line="360" w:lineRule="auto"/>
        <w:ind w:firstLine="480" w:firstLineChars="200"/>
        <w:rPr>
          <w:rFonts w:eastAsiaTheme="minorEastAsia"/>
          <w:b/>
          <w:bCs/>
          <w:sz w:val="24"/>
        </w:rPr>
      </w:pPr>
      <w:r>
        <w:rPr>
          <w:rFonts w:eastAsiaTheme="minorEastAsia"/>
          <w:bCs/>
          <w:sz w:val="24"/>
        </w:rPr>
        <w:t>3.2该合同价款包括货物的设计、制造、包装、仓储、运输、安装及验收合格前及质量保证期内的维修维护、备品备件的所有含税费用，即乙方为完成合同全部义务应承担的一切成本、费用和支出以及乙方的合理利润。</w:t>
      </w:r>
    </w:p>
    <w:p>
      <w:pPr>
        <w:adjustRightInd w:val="0"/>
        <w:snapToGrid w:val="0"/>
        <w:spacing w:line="360" w:lineRule="auto"/>
        <w:ind w:firstLine="480" w:firstLineChars="200"/>
        <w:rPr>
          <w:rFonts w:eastAsiaTheme="minorEastAsia"/>
          <w:sz w:val="24"/>
        </w:rPr>
      </w:pPr>
      <w:r>
        <w:rPr>
          <w:rFonts w:eastAsiaTheme="minorEastAsia"/>
          <w:sz w:val="24"/>
        </w:rPr>
        <w:t>第四条 合同价款的支付</w:t>
      </w:r>
    </w:p>
    <w:p>
      <w:pPr>
        <w:adjustRightInd w:val="0"/>
        <w:spacing w:line="360" w:lineRule="auto"/>
        <w:ind w:firstLine="480" w:firstLineChars="200"/>
        <w:rPr>
          <w:rFonts w:eastAsiaTheme="minorEastAsia"/>
          <w:sz w:val="24"/>
        </w:rPr>
      </w:pPr>
      <w:r>
        <w:rPr>
          <w:rFonts w:eastAsiaTheme="minorEastAsia"/>
          <w:sz w:val="24"/>
        </w:rPr>
        <w:t>甲方</w:t>
      </w:r>
      <w:r>
        <w:rPr>
          <w:rFonts w:eastAsiaTheme="minorEastAsia"/>
          <w:bCs/>
          <w:sz w:val="24"/>
        </w:rPr>
        <w:t>采用下列第</w:t>
      </w:r>
      <w:r>
        <w:rPr>
          <w:rFonts w:eastAsiaTheme="minorEastAsia"/>
          <w:bCs/>
          <w:sz w:val="24"/>
          <w:u w:val="single"/>
        </w:rPr>
        <w:t xml:space="preserve">  4.2  </w:t>
      </w:r>
      <w:r>
        <w:rPr>
          <w:rFonts w:eastAsiaTheme="minorEastAsia"/>
          <w:bCs/>
          <w:sz w:val="24"/>
        </w:rPr>
        <w:t>条的方式支付合同价款。</w:t>
      </w:r>
    </w:p>
    <w:p>
      <w:pPr>
        <w:adjustRightInd w:val="0"/>
        <w:spacing w:line="360" w:lineRule="auto"/>
        <w:ind w:firstLine="482" w:firstLineChars="200"/>
        <w:rPr>
          <w:rFonts w:eastAsiaTheme="minorEastAsia"/>
          <w:sz w:val="24"/>
        </w:rPr>
      </w:pPr>
      <w:r>
        <w:rPr>
          <w:rFonts w:eastAsiaTheme="minorEastAsia"/>
          <w:b/>
          <w:bCs/>
          <w:sz w:val="24"/>
        </w:rPr>
        <w:t>4.1一次性支付</w:t>
      </w:r>
    </w:p>
    <w:p>
      <w:pPr>
        <w:adjustRightInd w:val="0"/>
        <w:spacing w:line="360" w:lineRule="auto"/>
        <w:ind w:firstLine="480" w:firstLineChars="200"/>
        <w:rPr>
          <w:rFonts w:eastAsiaTheme="minorEastAsia"/>
          <w:sz w:val="24"/>
        </w:rPr>
      </w:pPr>
      <w:r>
        <w:rPr>
          <w:rFonts w:eastAsiaTheme="minorEastAsia"/>
          <w:sz w:val="24"/>
        </w:rPr>
        <w:t>乙方按照合同约定交付全部合同货物，完成安装、调试并经甲方验收合格后，甲方在收到乙方提交的下列全部单据并经审核无误后</w:t>
      </w:r>
      <w:r>
        <w:rPr>
          <w:rFonts w:eastAsiaTheme="minorEastAsia"/>
          <w:sz w:val="24"/>
          <w:u w:val="single"/>
        </w:rPr>
        <w:t xml:space="preserve"> </w:t>
      </w:r>
      <w:r>
        <w:rPr>
          <w:rFonts w:hint="eastAsia" w:eastAsiaTheme="minorEastAsia"/>
          <w:sz w:val="24"/>
          <w:u w:val="single"/>
        </w:rPr>
        <w:t>10</w:t>
      </w:r>
      <w:r>
        <w:rPr>
          <w:rFonts w:eastAsiaTheme="minorEastAsia"/>
          <w:sz w:val="24"/>
          <w:u w:val="single"/>
        </w:rPr>
        <w:t xml:space="preserve"> </w:t>
      </w:r>
      <w:r>
        <w:rPr>
          <w:rFonts w:eastAsiaTheme="minorEastAsia"/>
          <w:sz w:val="24"/>
        </w:rPr>
        <w:t>日内，一次性向乙方支付合同价款。</w:t>
      </w:r>
    </w:p>
    <w:p>
      <w:pPr>
        <w:adjustRightInd w:val="0"/>
        <w:spacing w:line="360" w:lineRule="auto"/>
        <w:ind w:firstLine="480" w:firstLineChars="200"/>
        <w:rPr>
          <w:rFonts w:eastAsiaTheme="minorEastAsia"/>
          <w:sz w:val="24"/>
        </w:rPr>
      </w:pPr>
      <w:r>
        <w:rPr>
          <w:rFonts w:hint="eastAsia" w:ascii="宋体" w:hAnsi="宋体" w:cs="宋体"/>
          <w:sz w:val="24"/>
        </w:rPr>
        <w:t>①</w:t>
      </w:r>
      <w:r>
        <w:rPr>
          <w:rFonts w:eastAsiaTheme="minorEastAsia"/>
          <w:sz w:val="24"/>
        </w:rPr>
        <w:t xml:space="preserve"> 乙方出具的交货清单原件一份；</w:t>
      </w:r>
    </w:p>
    <w:p>
      <w:pPr>
        <w:adjustRightInd w:val="0"/>
        <w:spacing w:line="360" w:lineRule="auto"/>
        <w:ind w:firstLine="480" w:firstLineChars="200"/>
        <w:rPr>
          <w:rFonts w:eastAsiaTheme="minorEastAsia"/>
          <w:sz w:val="24"/>
        </w:rPr>
      </w:pPr>
      <w:r>
        <w:rPr>
          <w:rFonts w:hint="eastAsia" w:ascii="宋体" w:hAnsi="宋体" w:cs="宋体"/>
          <w:sz w:val="24"/>
        </w:rPr>
        <w:t>②</w:t>
      </w:r>
      <w:r>
        <w:rPr>
          <w:rFonts w:eastAsiaTheme="minorEastAsia"/>
          <w:sz w:val="24"/>
        </w:rPr>
        <w:t xml:space="preserve"> 甲方签署的收货清单复印件一份；</w:t>
      </w:r>
    </w:p>
    <w:p>
      <w:pPr>
        <w:adjustRightInd w:val="0"/>
        <w:spacing w:line="360" w:lineRule="auto"/>
        <w:ind w:firstLine="480" w:firstLineChars="200"/>
        <w:rPr>
          <w:rFonts w:eastAsiaTheme="minorEastAsia"/>
          <w:sz w:val="24"/>
        </w:rPr>
      </w:pPr>
      <w:r>
        <w:rPr>
          <w:rFonts w:hint="eastAsia" w:ascii="宋体" w:hAnsi="宋体" w:cs="宋体"/>
          <w:sz w:val="24"/>
        </w:rPr>
        <w:t>③</w:t>
      </w:r>
      <w:r>
        <w:rPr>
          <w:rFonts w:eastAsiaTheme="minorEastAsia"/>
          <w:sz w:val="24"/>
        </w:rPr>
        <w:t xml:space="preserve"> 货物验收记录复印件一份；</w:t>
      </w:r>
    </w:p>
    <w:p>
      <w:pPr>
        <w:adjustRightInd w:val="0"/>
        <w:spacing w:line="360" w:lineRule="auto"/>
        <w:ind w:firstLine="480" w:firstLineChars="200"/>
        <w:rPr>
          <w:rFonts w:eastAsiaTheme="minorEastAsia"/>
          <w:sz w:val="24"/>
        </w:rPr>
      </w:pPr>
      <w:r>
        <w:rPr>
          <w:rFonts w:hint="eastAsia" w:ascii="宋体" w:hAnsi="宋体" w:cs="宋体"/>
          <w:sz w:val="24"/>
        </w:rPr>
        <w:t>④</w:t>
      </w:r>
      <w:r>
        <w:rPr>
          <w:rFonts w:eastAsiaTheme="minorEastAsia"/>
          <w:sz w:val="24"/>
        </w:rPr>
        <w:t xml:space="preserve"> 制造商出具的出厂质量合格证原件一份；</w:t>
      </w:r>
    </w:p>
    <w:p>
      <w:pPr>
        <w:adjustRightInd w:val="0"/>
        <w:spacing w:line="360" w:lineRule="auto"/>
        <w:ind w:firstLine="480" w:firstLineChars="200"/>
        <w:rPr>
          <w:rFonts w:eastAsiaTheme="minorEastAsia"/>
          <w:sz w:val="24"/>
        </w:rPr>
      </w:pPr>
      <w:r>
        <w:rPr>
          <w:rFonts w:hint="eastAsia" w:ascii="宋体" w:hAnsi="宋体" w:cs="宋体"/>
          <w:sz w:val="24"/>
        </w:rPr>
        <w:t>⑤</w:t>
      </w:r>
      <w:r>
        <w:rPr>
          <w:rFonts w:eastAsiaTheme="minorEastAsia"/>
          <w:sz w:val="24"/>
        </w:rPr>
        <w:t xml:space="preserve"> 合同价格100%金额的增值税（专用/普通）发票原件一份。</w:t>
      </w:r>
    </w:p>
    <w:p>
      <w:pPr>
        <w:adjustRightInd w:val="0"/>
        <w:spacing w:line="360" w:lineRule="auto"/>
        <w:ind w:firstLine="482" w:firstLineChars="200"/>
        <w:rPr>
          <w:rFonts w:eastAsiaTheme="minorEastAsia"/>
          <w:b/>
          <w:bCs/>
          <w:sz w:val="24"/>
        </w:rPr>
      </w:pPr>
      <w:r>
        <w:rPr>
          <w:rFonts w:eastAsiaTheme="minorEastAsia"/>
          <w:b/>
          <w:bCs/>
          <w:sz w:val="24"/>
        </w:rPr>
        <w:t>4.2分期支付（或者：在甲方支付尾款前，乙方开具与总合同金额对等的发票）</w:t>
      </w:r>
    </w:p>
    <w:p>
      <w:pPr>
        <w:adjustRightInd w:val="0"/>
        <w:spacing w:line="360" w:lineRule="auto"/>
        <w:ind w:firstLine="480" w:firstLineChars="200"/>
        <w:rPr>
          <w:rFonts w:eastAsiaTheme="minorEastAsia"/>
          <w:sz w:val="24"/>
        </w:rPr>
      </w:pPr>
      <w:r>
        <w:rPr>
          <w:rFonts w:eastAsiaTheme="minorEastAsia"/>
          <w:sz w:val="24"/>
        </w:rPr>
        <w:t>（1）合同生效后，甲方根据库存和发放进度提交单笔订单，单笔订单数量不低于5000个。每次单笔订单，甲方在</w:t>
      </w:r>
      <w:r>
        <w:rPr>
          <w:rFonts w:eastAsiaTheme="minorEastAsia"/>
          <w:sz w:val="24"/>
          <w:u w:val="single"/>
        </w:rPr>
        <w:t>5</w:t>
      </w:r>
      <w:r>
        <w:rPr>
          <w:rFonts w:hint="eastAsia" w:eastAsiaTheme="minorEastAsia"/>
          <w:sz w:val="24"/>
          <w:u w:val="single"/>
        </w:rPr>
        <w:t>个工作</w:t>
      </w:r>
      <w:r>
        <w:rPr>
          <w:rFonts w:eastAsiaTheme="minorEastAsia"/>
          <w:sz w:val="24"/>
        </w:rPr>
        <w:t>日内，向乙方支付单笔订单价款的</w:t>
      </w:r>
      <w:r>
        <w:rPr>
          <w:rFonts w:eastAsiaTheme="minorEastAsia"/>
          <w:sz w:val="24"/>
          <w:u w:val="single"/>
        </w:rPr>
        <w:t xml:space="preserve">50 </w:t>
      </w:r>
      <w:r>
        <w:rPr>
          <w:rFonts w:eastAsiaTheme="minorEastAsia"/>
          <w:sz w:val="24"/>
        </w:rPr>
        <w:t>%作为预付款；</w:t>
      </w:r>
    </w:p>
    <w:p>
      <w:pPr>
        <w:adjustRightInd w:val="0"/>
        <w:spacing w:line="360" w:lineRule="auto"/>
        <w:ind w:firstLine="480" w:firstLineChars="200"/>
        <w:rPr>
          <w:rFonts w:eastAsiaTheme="minorEastAsia"/>
          <w:sz w:val="24"/>
        </w:rPr>
      </w:pPr>
      <w:r>
        <w:rPr>
          <w:rFonts w:eastAsiaTheme="minorEastAsia"/>
          <w:sz w:val="24"/>
        </w:rPr>
        <w:t>（2）乙方按照合同约定根据甲方的单笔订单交付订单货物，甲方在收到乙方单笔订单货物并收到乙方提交的下列全部单据并经审核无误后</w:t>
      </w:r>
      <w:r>
        <w:rPr>
          <w:rFonts w:eastAsiaTheme="minorEastAsia"/>
          <w:sz w:val="24"/>
          <w:u w:val="single"/>
        </w:rPr>
        <w:t xml:space="preserve">  5</w:t>
      </w:r>
      <w:r>
        <w:rPr>
          <w:rFonts w:hint="eastAsia" w:eastAsiaTheme="minorEastAsia"/>
          <w:sz w:val="24"/>
          <w:u w:val="single"/>
        </w:rPr>
        <w:t>个工作</w:t>
      </w:r>
      <w:r>
        <w:rPr>
          <w:rFonts w:eastAsiaTheme="minorEastAsia"/>
          <w:sz w:val="24"/>
          <w:u w:val="single"/>
        </w:rPr>
        <w:t xml:space="preserve"> </w:t>
      </w:r>
      <w:r>
        <w:rPr>
          <w:rFonts w:eastAsiaTheme="minorEastAsia"/>
          <w:sz w:val="24"/>
        </w:rPr>
        <w:t>日内，向乙方支付单笔订单价款的</w:t>
      </w:r>
      <w:r>
        <w:rPr>
          <w:rFonts w:hint="eastAsia" w:eastAsiaTheme="minorEastAsia"/>
          <w:sz w:val="24"/>
        </w:rPr>
        <w:t>剩余</w:t>
      </w:r>
      <w:r>
        <w:rPr>
          <w:rFonts w:eastAsiaTheme="minorEastAsia"/>
          <w:sz w:val="24"/>
          <w:u w:val="single"/>
        </w:rPr>
        <w:t xml:space="preserve">  50  </w:t>
      </w:r>
      <w:r>
        <w:rPr>
          <w:rFonts w:eastAsiaTheme="minorEastAsia"/>
          <w:sz w:val="24"/>
        </w:rPr>
        <w:t>%（与第一笔付款之和为单笔订单价款的100%）</w:t>
      </w:r>
      <w:r>
        <w:rPr>
          <w:rFonts w:eastAsiaTheme="minorEastAsia"/>
          <w:bCs/>
          <w:sz w:val="24"/>
        </w:rPr>
        <w:t>。</w:t>
      </w:r>
    </w:p>
    <w:p>
      <w:pPr>
        <w:adjustRightInd w:val="0"/>
        <w:spacing w:line="360" w:lineRule="auto"/>
        <w:ind w:firstLine="480" w:firstLineChars="200"/>
        <w:rPr>
          <w:rFonts w:eastAsiaTheme="minorEastAsia"/>
          <w:sz w:val="24"/>
        </w:rPr>
      </w:pPr>
      <w:r>
        <w:rPr>
          <w:rFonts w:hint="eastAsia" w:ascii="宋体" w:hAnsi="宋体" w:cs="宋体"/>
          <w:sz w:val="24"/>
        </w:rPr>
        <w:t>①</w:t>
      </w:r>
      <w:r>
        <w:rPr>
          <w:rFonts w:eastAsiaTheme="minorEastAsia"/>
          <w:sz w:val="24"/>
        </w:rPr>
        <w:t xml:space="preserve"> 乙方出具的交货清单原件一份；</w:t>
      </w:r>
    </w:p>
    <w:p>
      <w:pPr>
        <w:adjustRightInd w:val="0"/>
        <w:spacing w:line="360" w:lineRule="auto"/>
        <w:ind w:firstLine="480" w:firstLineChars="200"/>
        <w:rPr>
          <w:rFonts w:eastAsiaTheme="minorEastAsia"/>
          <w:sz w:val="24"/>
        </w:rPr>
      </w:pPr>
      <w:r>
        <w:rPr>
          <w:rFonts w:hint="eastAsia" w:ascii="宋体" w:hAnsi="宋体" w:cs="宋体"/>
          <w:sz w:val="24"/>
        </w:rPr>
        <w:t>②</w:t>
      </w:r>
      <w:r>
        <w:rPr>
          <w:rFonts w:eastAsiaTheme="minorEastAsia"/>
          <w:sz w:val="24"/>
        </w:rPr>
        <w:t xml:space="preserve"> 甲方签署的收货清单复印件一份；</w:t>
      </w:r>
    </w:p>
    <w:p>
      <w:pPr>
        <w:adjustRightInd w:val="0"/>
        <w:spacing w:line="360" w:lineRule="auto"/>
        <w:ind w:firstLine="480" w:firstLineChars="200"/>
        <w:rPr>
          <w:rFonts w:eastAsiaTheme="minorEastAsia"/>
          <w:sz w:val="24"/>
        </w:rPr>
      </w:pPr>
      <w:r>
        <w:rPr>
          <w:rFonts w:hint="eastAsia" w:ascii="宋体" w:hAnsi="宋体" w:cs="宋体"/>
          <w:sz w:val="24"/>
        </w:rPr>
        <w:t>③</w:t>
      </w:r>
      <w:r>
        <w:rPr>
          <w:rFonts w:eastAsiaTheme="minorEastAsia"/>
          <w:sz w:val="24"/>
        </w:rPr>
        <w:t xml:space="preserve"> 货物验收记录复印件一份；</w:t>
      </w:r>
    </w:p>
    <w:p>
      <w:pPr>
        <w:adjustRightInd w:val="0"/>
        <w:spacing w:line="360" w:lineRule="auto"/>
        <w:ind w:firstLine="480" w:firstLineChars="200"/>
        <w:rPr>
          <w:rFonts w:eastAsiaTheme="minorEastAsia"/>
          <w:sz w:val="24"/>
        </w:rPr>
      </w:pPr>
      <w:r>
        <w:rPr>
          <w:rFonts w:hint="eastAsia" w:ascii="宋体" w:hAnsi="宋体" w:cs="宋体"/>
          <w:sz w:val="24"/>
        </w:rPr>
        <w:t>④</w:t>
      </w:r>
      <w:r>
        <w:rPr>
          <w:rFonts w:eastAsiaTheme="minorEastAsia"/>
          <w:sz w:val="24"/>
        </w:rPr>
        <w:t xml:space="preserve"> 制造商出具的出厂质量合格证原件一份；</w:t>
      </w:r>
    </w:p>
    <w:p>
      <w:pPr>
        <w:adjustRightInd w:val="0"/>
        <w:spacing w:line="360" w:lineRule="auto"/>
        <w:ind w:firstLine="480" w:firstLineChars="200"/>
        <w:rPr>
          <w:rFonts w:eastAsiaTheme="minorEastAsia"/>
          <w:sz w:val="24"/>
        </w:rPr>
      </w:pPr>
      <w:r>
        <w:rPr>
          <w:rFonts w:hint="eastAsia" w:ascii="宋体" w:hAnsi="宋体" w:cs="宋体"/>
          <w:sz w:val="24"/>
        </w:rPr>
        <w:t>⑤</w:t>
      </w:r>
      <w:r>
        <w:rPr>
          <w:rFonts w:eastAsiaTheme="minorEastAsia"/>
          <w:sz w:val="24"/>
        </w:rPr>
        <w:t xml:space="preserve"> </w:t>
      </w:r>
      <w:r>
        <w:rPr>
          <w:rFonts w:eastAsiaTheme="minorEastAsia"/>
          <w:b/>
          <w:sz w:val="24"/>
        </w:rPr>
        <w:t>增值税（专用/普通）发票原件一份（与第一笔付款之和为</w:t>
      </w:r>
      <w:r>
        <w:rPr>
          <w:rFonts w:eastAsiaTheme="minorEastAsia"/>
          <w:b/>
          <w:bCs/>
          <w:sz w:val="24"/>
        </w:rPr>
        <w:t>单笔订单价款</w:t>
      </w:r>
      <w:r>
        <w:rPr>
          <w:rFonts w:eastAsiaTheme="minorEastAsia"/>
          <w:b/>
          <w:sz w:val="24"/>
        </w:rPr>
        <w:t>的</w:t>
      </w:r>
      <w:r>
        <w:rPr>
          <w:rFonts w:hint="eastAsia" w:eastAsiaTheme="minorEastAsia"/>
          <w:b/>
          <w:sz w:val="24"/>
        </w:rPr>
        <w:t>10</w:t>
      </w:r>
      <w:r>
        <w:rPr>
          <w:rFonts w:eastAsiaTheme="minorEastAsia"/>
          <w:b/>
          <w:sz w:val="24"/>
        </w:rPr>
        <w:t>0%）</w:t>
      </w:r>
      <w:r>
        <w:rPr>
          <w:rFonts w:eastAsiaTheme="minorEastAsia"/>
          <w:sz w:val="24"/>
        </w:rPr>
        <w:t>。</w:t>
      </w:r>
    </w:p>
    <w:p>
      <w:pPr>
        <w:adjustRightInd w:val="0"/>
        <w:spacing w:line="360" w:lineRule="auto"/>
        <w:ind w:firstLine="480" w:firstLineChars="200"/>
        <w:rPr>
          <w:rFonts w:eastAsiaTheme="minorEastAsia"/>
          <w:sz w:val="24"/>
        </w:rPr>
      </w:pPr>
      <w:r>
        <w:rPr>
          <w:rFonts w:eastAsiaTheme="minorEastAsia"/>
          <w:sz w:val="24"/>
        </w:rPr>
        <w:t>如果乙方不履行合同约定的义务或其履行义务不符合合同的约定，甲方有权直接从应付乙方的任何一笔款项中扣减甲方应得之补偿。不足部分，甲方有权继续向乙方进行追偿。</w:t>
      </w:r>
    </w:p>
    <w:p>
      <w:pPr>
        <w:adjustRightInd w:val="0"/>
        <w:snapToGrid w:val="0"/>
        <w:spacing w:line="360" w:lineRule="auto"/>
        <w:ind w:firstLine="480" w:firstLineChars="200"/>
        <w:rPr>
          <w:rFonts w:eastAsiaTheme="minorEastAsia"/>
          <w:sz w:val="24"/>
        </w:rPr>
      </w:pPr>
      <w:r>
        <w:rPr>
          <w:rFonts w:eastAsiaTheme="minorEastAsia"/>
          <w:sz w:val="24"/>
        </w:rPr>
        <w:t>第五条 监造及交货前检验</w:t>
      </w:r>
    </w:p>
    <w:p>
      <w:pPr>
        <w:adjustRightInd w:val="0"/>
        <w:spacing w:line="360" w:lineRule="auto"/>
        <w:ind w:firstLine="482" w:firstLineChars="200"/>
        <w:rPr>
          <w:rFonts w:eastAsiaTheme="minorEastAsia"/>
          <w:b/>
          <w:bCs/>
          <w:sz w:val="24"/>
        </w:rPr>
      </w:pPr>
      <w:r>
        <w:rPr>
          <w:rFonts w:eastAsiaTheme="minorEastAsia"/>
          <w:b/>
          <w:bCs/>
          <w:sz w:val="24"/>
        </w:rPr>
        <w:t>5.1监造</w:t>
      </w:r>
    </w:p>
    <w:p>
      <w:pPr>
        <w:adjustRightInd w:val="0"/>
        <w:spacing w:line="360" w:lineRule="auto"/>
        <w:ind w:firstLine="480" w:firstLineChars="200"/>
        <w:rPr>
          <w:rFonts w:eastAsiaTheme="minorEastAsia"/>
          <w:sz w:val="24"/>
        </w:rPr>
      </w:pPr>
      <w:r>
        <w:rPr>
          <w:rFonts w:eastAsiaTheme="minorEastAsia"/>
          <w:sz w:val="24"/>
        </w:rPr>
        <w:t>1、在合同货物的制造过程中，甲方可派出监造人员，对合同货物的生产制造进行监造，监督合同货物制造、检验等情况。乙方应免费为甲方监造人员提供必要的工作条件，包括但不限于必要的办公场所、技术资料、检测工具及出入证件等。除本合同另有约定外，甲方监造人员的交通、食宿费用由甲方承担。</w:t>
      </w:r>
    </w:p>
    <w:p>
      <w:pPr>
        <w:adjustRightInd w:val="0"/>
        <w:spacing w:line="360" w:lineRule="auto"/>
        <w:ind w:firstLine="480" w:firstLineChars="200"/>
        <w:rPr>
          <w:rFonts w:eastAsiaTheme="minorEastAsia"/>
          <w:sz w:val="24"/>
        </w:rPr>
      </w:pPr>
      <w:r>
        <w:rPr>
          <w:rFonts w:eastAsiaTheme="minorEastAsia"/>
          <w:sz w:val="24"/>
        </w:rPr>
        <w:t>2、甲方监造人员未现场监造，不影响合同货物及其关键部件的制造或检验。且甲方监造人员有权事后了解、查阅、复制相关制造或检验记录。</w:t>
      </w:r>
    </w:p>
    <w:p>
      <w:pPr>
        <w:adjustRightInd w:val="0"/>
        <w:spacing w:line="360" w:lineRule="auto"/>
        <w:ind w:firstLine="480" w:firstLineChars="200"/>
        <w:rPr>
          <w:rFonts w:eastAsiaTheme="minorEastAsia"/>
          <w:sz w:val="24"/>
        </w:rPr>
      </w:pPr>
      <w:r>
        <w:rPr>
          <w:rFonts w:eastAsiaTheme="minorEastAsia"/>
          <w:sz w:val="24"/>
        </w:rPr>
        <w:t>3、甲方监造人员在监造中如发现合同货物及其关键部件不符合合同约定的标准，则有权提出意见和建议。乙方应采取必要措施消除合同货物的不符，由此增加的费用和（或）造成的延误由乙方负责。</w:t>
      </w:r>
    </w:p>
    <w:p>
      <w:pPr>
        <w:adjustRightInd w:val="0"/>
        <w:spacing w:line="360" w:lineRule="auto"/>
        <w:ind w:firstLine="480" w:firstLineChars="200"/>
        <w:rPr>
          <w:rFonts w:eastAsiaTheme="minorEastAsia"/>
          <w:sz w:val="24"/>
        </w:rPr>
      </w:pPr>
      <w:r>
        <w:rPr>
          <w:rFonts w:eastAsiaTheme="minorEastAsia"/>
          <w:sz w:val="24"/>
        </w:rPr>
        <w:t>4、甲方监造人员对合同货物的监造，不视为对合同货物质量的确认，不影响乙方交货后甲方依照合同约定对合同货物提出质量异议和（或）退货的权利，也不免除乙方依照合同约定对合同货物所应承担的任何义务或责任。</w:t>
      </w:r>
    </w:p>
    <w:p>
      <w:pPr>
        <w:adjustRightInd w:val="0"/>
        <w:spacing w:line="360" w:lineRule="auto"/>
        <w:ind w:firstLine="482" w:firstLineChars="200"/>
        <w:rPr>
          <w:rFonts w:eastAsiaTheme="minorEastAsia"/>
          <w:b/>
          <w:bCs/>
          <w:sz w:val="24"/>
        </w:rPr>
      </w:pPr>
      <w:r>
        <w:rPr>
          <w:rFonts w:eastAsiaTheme="minorEastAsia"/>
          <w:b/>
          <w:bCs/>
          <w:sz w:val="24"/>
        </w:rPr>
        <w:t>5.2交货前检验</w:t>
      </w:r>
    </w:p>
    <w:p>
      <w:pPr>
        <w:adjustRightInd w:val="0"/>
        <w:spacing w:line="360" w:lineRule="auto"/>
        <w:ind w:firstLine="480" w:firstLineChars="200"/>
        <w:rPr>
          <w:rFonts w:eastAsiaTheme="minorEastAsia"/>
          <w:sz w:val="24"/>
        </w:rPr>
      </w:pPr>
      <w:r>
        <w:rPr>
          <w:rFonts w:eastAsiaTheme="minorEastAsia"/>
          <w:sz w:val="24"/>
        </w:rPr>
        <w:t>1、合同货物交货前，乙方应会同甲方代表根据合同约定对合同货物进行交货前检验并出具交货前检验记录，有关费用由乙方承担。乙方应免费为甲方代表提供工作条件及便利，包括但不限于必要的办公场所、技术资料、检测工具及出入证件等。除本合同另有约定外，甲方代表的交通、食宿费用由甲方承担。</w:t>
      </w:r>
    </w:p>
    <w:p>
      <w:pPr>
        <w:adjustRightInd w:val="0"/>
        <w:spacing w:line="360" w:lineRule="auto"/>
        <w:ind w:firstLine="480" w:firstLineChars="200"/>
        <w:rPr>
          <w:rFonts w:eastAsiaTheme="minorEastAsia"/>
          <w:sz w:val="24"/>
        </w:rPr>
      </w:pPr>
      <w:r>
        <w:rPr>
          <w:rFonts w:eastAsiaTheme="minorEastAsia"/>
          <w:sz w:val="24"/>
        </w:rPr>
        <w:t>2、乙方应提前7日将需要甲方代表检验事项通知甲方；如甲方代表未按通知出席，不影响合同货物的检验。若乙方未依照合同约定提前通知甲方而自行检验，则甲方有权要求乙方暂停发货并重新进行检验，由此增加的费用和（或）造成的延误由乙方负责。</w:t>
      </w:r>
    </w:p>
    <w:p>
      <w:pPr>
        <w:adjustRightInd w:val="0"/>
        <w:spacing w:line="360" w:lineRule="auto"/>
        <w:ind w:firstLine="480" w:firstLineChars="200"/>
        <w:rPr>
          <w:rFonts w:eastAsiaTheme="minorEastAsia"/>
          <w:sz w:val="24"/>
        </w:rPr>
      </w:pPr>
      <w:r>
        <w:rPr>
          <w:rFonts w:eastAsiaTheme="minorEastAsia"/>
          <w:sz w:val="24"/>
        </w:rPr>
        <w:t>3、甲方代表在检验中如发现合同货物不符合合同约定的标准，则有权提出异议。乙方应采取必要措施消除合同货物的不符，由此增加的费用和（或）造成的延误由乙方负责。</w:t>
      </w:r>
    </w:p>
    <w:p>
      <w:pPr>
        <w:adjustRightInd w:val="0"/>
        <w:spacing w:line="360" w:lineRule="auto"/>
        <w:ind w:firstLine="480" w:firstLineChars="200"/>
        <w:rPr>
          <w:rFonts w:eastAsiaTheme="minorEastAsia"/>
          <w:sz w:val="24"/>
        </w:rPr>
      </w:pPr>
      <w:r>
        <w:rPr>
          <w:rFonts w:eastAsiaTheme="minorEastAsia"/>
          <w:sz w:val="24"/>
        </w:rPr>
        <w:t>4、甲方代表参与交货前检验及签署交货前检验记录的行为，不视为对合同货物质量的确认，不影响乙方交货后甲方依照合同约定对合同货物提出质量异议和（或）退货的权利，也不免除乙方依照合同约定对合同货物所应承担的任何义务或责任。</w:t>
      </w:r>
    </w:p>
    <w:p>
      <w:pPr>
        <w:adjustRightInd w:val="0"/>
        <w:snapToGrid w:val="0"/>
        <w:spacing w:line="360" w:lineRule="auto"/>
        <w:ind w:firstLine="480" w:firstLineChars="200"/>
        <w:rPr>
          <w:rFonts w:eastAsiaTheme="minorEastAsia"/>
          <w:sz w:val="24"/>
        </w:rPr>
      </w:pPr>
      <w:r>
        <w:rPr>
          <w:rFonts w:eastAsiaTheme="minorEastAsia"/>
          <w:sz w:val="24"/>
        </w:rPr>
        <w:t>第六条 包装、标记、运输和交付</w:t>
      </w:r>
    </w:p>
    <w:p>
      <w:pPr>
        <w:adjustRightInd w:val="0"/>
        <w:spacing w:line="360" w:lineRule="auto"/>
        <w:ind w:firstLine="482" w:firstLineChars="200"/>
        <w:rPr>
          <w:rFonts w:eastAsiaTheme="minorEastAsia"/>
          <w:b/>
          <w:bCs/>
          <w:sz w:val="24"/>
        </w:rPr>
      </w:pPr>
      <w:r>
        <w:rPr>
          <w:rFonts w:eastAsiaTheme="minorEastAsia"/>
          <w:b/>
          <w:bCs/>
          <w:sz w:val="24"/>
        </w:rPr>
        <w:t>6.1 包装</w:t>
      </w:r>
    </w:p>
    <w:p>
      <w:pPr>
        <w:adjustRightInd w:val="0"/>
        <w:spacing w:line="360" w:lineRule="auto"/>
        <w:ind w:firstLine="480" w:firstLineChars="200"/>
        <w:rPr>
          <w:rFonts w:eastAsiaTheme="minorEastAsia"/>
          <w:sz w:val="24"/>
        </w:rPr>
      </w:pPr>
      <w:r>
        <w:rPr>
          <w:rFonts w:eastAsiaTheme="minorEastAsia"/>
          <w:sz w:val="24"/>
        </w:rPr>
        <w:t>1、乙方应对合同货物进行妥善包装，以满足合同货物运至甲方指定地点及在甲方指定地点保管的需要。包装应采取防潮、防晒、防锈、防腐蚀、防震动及防止其它损坏的必要保护措施，从而保护合同货物能够经受多次搬运、装卸、长途运输并适宜保管。</w:t>
      </w:r>
    </w:p>
    <w:p>
      <w:pPr>
        <w:adjustRightInd w:val="0"/>
        <w:spacing w:line="360" w:lineRule="auto"/>
        <w:ind w:firstLine="480" w:firstLineChars="200"/>
        <w:rPr>
          <w:rFonts w:eastAsiaTheme="minorEastAsia"/>
          <w:sz w:val="24"/>
        </w:rPr>
      </w:pPr>
      <w:r>
        <w:rPr>
          <w:rFonts w:eastAsiaTheme="minorEastAsia"/>
          <w:sz w:val="24"/>
        </w:rPr>
        <w:t>2、每个独立包装箱内应附装箱清单、质量合格证、装配图、说明书、操作指南等资料。乙方未提供相关资料的，甲方有权拒收。</w:t>
      </w:r>
    </w:p>
    <w:p>
      <w:pPr>
        <w:adjustRightInd w:val="0"/>
        <w:spacing w:line="360" w:lineRule="auto"/>
        <w:ind w:firstLine="480" w:firstLineChars="200"/>
        <w:rPr>
          <w:rFonts w:eastAsiaTheme="minorEastAsia"/>
          <w:sz w:val="24"/>
        </w:rPr>
      </w:pPr>
      <w:r>
        <w:rPr>
          <w:rFonts w:eastAsiaTheme="minorEastAsia"/>
          <w:sz w:val="24"/>
        </w:rPr>
        <w:t>3、除本合同另有约定外，甲方无需将包装物退还给乙方。</w:t>
      </w:r>
    </w:p>
    <w:p>
      <w:pPr>
        <w:adjustRightInd w:val="0"/>
        <w:spacing w:line="360" w:lineRule="auto"/>
        <w:ind w:firstLine="482" w:firstLineChars="200"/>
        <w:rPr>
          <w:rFonts w:eastAsiaTheme="minorEastAsia"/>
          <w:b/>
          <w:bCs/>
          <w:sz w:val="24"/>
        </w:rPr>
      </w:pPr>
      <w:r>
        <w:rPr>
          <w:rFonts w:eastAsiaTheme="minorEastAsia"/>
          <w:b/>
          <w:bCs/>
          <w:sz w:val="24"/>
        </w:rPr>
        <w:t>6.2 标记</w:t>
      </w:r>
    </w:p>
    <w:p>
      <w:pPr>
        <w:adjustRightInd w:val="0"/>
        <w:spacing w:line="360" w:lineRule="auto"/>
        <w:ind w:firstLine="480" w:firstLineChars="200"/>
        <w:rPr>
          <w:rFonts w:eastAsiaTheme="minorEastAsia"/>
          <w:sz w:val="24"/>
        </w:rPr>
      </w:pPr>
      <w:r>
        <w:rPr>
          <w:rFonts w:eastAsiaTheme="minorEastAsia"/>
          <w:sz w:val="24"/>
        </w:rPr>
        <w:t>1、乙方应在每一包装箱相邻的四个侧面以不可擦除的、明显的方式标记必要的装运信息和标记，以满足合同货物运输和保管的需要。</w:t>
      </w:r>
    </w:p>
    <w:p>
      <w:pPr>
        <w:adjustRightInd w:val="0"/>
        <w:spacing w:line="360" w:lineRule="auto"/>
        <w:ind w:firstLine="480" w:firstLineChars="200"/>
        <w:rPr>
          <w:rFonts w:eastAsiaTheme="minorEastAsia"/>
          <w:sz w:val="24"/>
        </w:rPr>
      </w:pPr>
      <w:r>
        <w:rPr>
          <w:rFonts w:eastAsiaTheme="minorEastAsia"/>
          <w:sz w:val="24"/>
        </w:rPr>
        <w:t>2、根据合同货物的特点和运输、保管的不同要求，乙方应在包装箱上清楚地标注“小心轻放”、“此端朝上，请勿倒置”、“保持干燥”等字样和其他适当标记。如合同货物为超大超重件，乙方应在包装箱两侧标注“重心”和“起吊点”以便装卸和搬运。如果发运合同货物含有易燃易爆物品、腐蚀物品、放射性物质等危险品，则应在包装箱上标明危险品标志。</w:t>
      </w:r>
    </w:p>
    <w:p>
      <w:pPr>
        <w:adjustRightInd w:val="0"/>
        <w:spacing w:line="360" w:lineRule="auto"/>
        <w:ind w:firstLine="482" w:firstLineChars="200"/>
        <w:rPr>
          <w:rFonts w:eastAsiaTheme="minorEastAsia"/>
          <w:b/>
          <w:bCs/>
          <w:sz w:val="24"/>
        </w:rPr>
      </w:pPr>
      <w:r>
        <w:rPr>
          <w:rFonts w:eastAsiaTheme="minorEastAsia"/>
          <w:b/>
          <w:bCs/>
          <w:sz w:val="24"/>
        </w:rPr>
        <w:t>6.3 运输</w:t>
      </w:r>
    </w:p>
    <w:p>
      <w:pPr>
        <w:adjustRightInd w:val="0"/>
        <w:spacing w:line="360" w:lineRule="auto"/>
        <w:ind w:firstLine="480" w:firstLineChars="200"/>
        <w:rPr>
          <w:rFonts w:eastAsiaTheme="minorEastAsia"/>
          <w:sz w:val="24"/>
        </w:rPr>
      </w:pPr>
      <w:r>
        <w:rPr>
          <w:rFonts w:eastAsiaTheme="minorEastAsia"/>
          <w:sz w:val="24"/>
        </w:rPr>
        <w:t>1、乙方应自行选择适宜的运输工具及线路安排合同货物运输。</w:t>
      </w:r>
    </w:p>
    <w:p>
      <w:pPr>
        <w:adjustRightInd w:val="0"/>
        <w:spacing w:line="360" w:lineRule="auto"/>
        <w:ind w:firstLine="480" w:firstLineChars="200"/>
        <w:rPr>
          <w:rFonts w:eastAsiaTheme="minorEastAsia"/>
          <w:sz w:val="24"/>
        </w:rPr>
      </w:pPr>
      <w:r>
        <w:rPr>
          <w:rFonts w:eastAsiaTheme="minorEastAsia"/>
          <w:sz w:val="24"/>
        </w:rPr>
        <w:t>2、除本合同另有约定或经甲方书面同意外，每件能够独立运行的设备应整套装运。该货物安装、调试、考核和运行所使用的备品、备件、易损易耗件等应随相关的主机一齐装运。</w:t>
      </w:r>
    </w:p>
    <w:p>
      <w:pPr>
        <w:adjustRightInd w:val="0"/>
        <w:spacing w:line="360" w:lineRule="auto"/>
        <w:ind w:firstLine="480" w:firstLineChars="200"/>
        <w:rPr>
          <w:rFonts w:eastAsiaTheme="minorEastAsia"/>
          <w:sz w:val="24"/>
        </w:rPr>
      </w:pPr>
      <w:r>
        <w:rPr>
          <w:rFonts w:eastAsiaTheme="minorEastAsia"/>
          <w:sz w:val="24"/>
        </w:rPr>
        <w:t>3、乙方在合同货物预计起运</w:t>
      </w:r>
      <w:r>
        <w:rPr>
          <w:rFonts w:eastAsiaTheme="minorEastAsia"/>
          <w:sz w:val="24"/>
          <w:u w:val="single"/>
        </w:rPr>
        <w:t xml:space="preserve">  </w:t>
      </w:r>
      <w:r>
        <w:rPr>
          <w:rFonts w:eastAsiaTheme="minorEastAsia"/>
          <w:sz w:val="24"/>
        </w:rPr>
        <w:t>日前，将合同货物名称、数量、箱数、总毛重、总体积（立方米）、尺寸（长×宽×高）、装运合同货物总金额、运输方式、预计交付日期和合同货物在运输、装卸、保管中的注意事项等预通知甲方，并在合同货物起运后及时通知甲方。</w:t>
      </w:r>
    </w:p>
    <w:p>
      <w:pPr>
        <w:adjustRightInd w:val="0"/>
        <w:spacing w:line="360" w:lineRule="auto"/>
        <w:ind w:firstLine="480" w:firstLineChars="200"/>
        <w:rPr>
          <w:rFonts w:eastAsiaTheme="minorEastAsia"/>
          <w:sz w:val="24"/>
        </w:rPr>
      </w:pPr>
      <w:r>
        <w:rPr>
          <w:rFonts w:eastAsiaTheme="minorEastAsia"/>
          <w:sz w:val="24"/>
        </w:rPr>
        <w:t>4、如果合同货物属于超大超重包装，则乙方应将超大和（或）超重的每个包装箱的重量和尺寸通知甲方；如果发运合同货物含有易燃易爆物品、腐蚀物品、放射性物质等危险品，则危险品的品名、性质、在运输、装卸、保管方面的特殊要求、注意事项和处理意外情况的方法等，也应一并通知甲方。</w:t>
      </w:r>
    </w:p>
    <w:p>
      <w:pPr>
        <w:adjustRightInd w:val="0"/>
        <w:spacing w:line="360" w:lineRule="auto"/>
        <w:ind w:firstLine="482" w:firstLineChars="200"/>
        <w:rPr>
          <w:rFonts w:eastAsiaTheme="minorEastAsia"/>
          <w:b/>
          <w:bCs/>
          <w:sz w:val="24"/>
        </w:rPr>
      </w:pPr>
      <w:r>
        <w:rPr>
          <w:rFonts w:eastAsiaTheme="minorEastAsia"/>
          <w:b/>
          <w:bCs/>
          <w:sz w:val="24"/>
        </w:rPr>
        <w:t>6.4 交付</w:t>
      </w:r>
    </w:p>
    <w:p>
      <w:pPr>
        <w:adjustRightInd w:val="0"/>
        <w:spacing w:line="360" w:lineRule="auto"/>
        <w:ind w:firstLine="480" w:firstLineChars="200"/>
        <w:rPr>
          <w:rFonts w:eastAsiaTheme="minorEastAsia"/>
          <w:sz w:val="24"/>
        </w:rPr>
      </w:pPr>
      <w:r>
        <w:rPr>
          <w:rFonts w:eastAsiaTheme="minorEastAsia"/>
          <w:sz w:val="24"/>
        </w:rPr>
        <w:t>1、交付时间：合同签订后</w:t>
      </w:r>
      <w:r>
        <w:rPr>
          <w:rFonts w:eastAsiaTheme="minorEastAsia"/>
          <w:sz w:val="24"/>
          <w:u w:val="single"/>
        </w:rPr>
        <w:t xml:space="preserve">  45  </w:t>
      </w:r>
      <w:r>
        <w:rPr>
          <w:rFonts w:eastAsiaTheme="minorEastAsia"/>
          <w:sz w:val="24"/>
        </w:rPr>
        <w:t>日内。交货地点：清华大学用户指定地点。甲方对乙方交付的合同货物的外观及件数进行清点核验后签发收货清单，甲方签发收货清单不代表对合同货物的接受，双方还应按合同约定进行后续的检验和验收。</w:t>
      </w:r>
    </w:p>
    <w:p>
      <w:pPr>
        <w:adjustRightInd w:val="0"/>
        <w:spacing w:line="360" w:lineRule="auto"/>
        <w:ind w:firstLine="480" w:firstLineChars="200"/>
        <w:rPr>
          <w:rFonts w:eastAsiaTheme="minorEastAsia"/>
          <w:sz w:val="24"/>
        </w:rPr>
      </w:pPr>
      <w:r>
        <w:rPr>
          <w:rFonts w:eastAsiaTheme="minorEastAsia"/>
          <w:sz w:val="24"/>
        </w:rPr>
        <w:t>2、合同货物的所有权和风险自交付时起由乙方转移至甲方，合同货物交付给甲方之前包括运输在内的所有风险均由乙方承担。</w:t>
      </w:r>
    </w:p>
    <w:p>
      <w:pPr>
        <w:adjustRightInd w:val="0"/>
        <w:spacing w:line="360" w:lineRule="auto"/>
        <w:ind w:firstLine="480" w:firstLineChars="200"/>
        <w:rPr>
          <w:rFonts w:eastAsiaTheme="minorEastAsia"/>
          <w:sz w:val="24"/>
        </w:rPr>
      </w:pPr>
      <w:r>
        <w:rPr>
          <w:rFonts w:eastAsiaTheme="minorEastAsia"/>
          <w:sz w:val="24"/>
        </w:rPr>
        <w:t>3、甲方如果发现技术资料存在短缺和（或）损坏，乙方应在收到甲方的通知后7日内免费补齐短缺和（或）损坏的部分。如果甲方发现乙方提供的技术资料有误，乙方应在收到甲方通知后7日内免费替换。</w:t>
      </w:r>
    </w:p>
    <w:p>
      <w:pPr>
        <w:adjustRightInd w:val="0"/>
        <w:spacing w:line="360" w:lineRule="auto"/>
        <w:ind w:firstLine="480" w:firstLineChars="200"/>
        <w:rPr>
          <w:rFonts w:eastAsiaTheme="minorEastAsia"/>
          <w:sz w:val="24"/>
        </w:rPr>
      </w:pPr>
      <w:r>
        <w:rPr>
          <w:rFonts w:eastAsiaTheme="minorEastAsia"/>
          <w:sz w:val="24"/>
        </w:rPr>
        <w:t>4、乙方应对合同中提供的货物在制造、购置、运输、存放及交货过程中的丢失或损坏进行全面保险，还应对其在项目现场进行技术服务的人员进行必要的保险。</w:t>
      </w:r>
    </w:p>
    <w:p>
      <w:pPr>
        <w:adjustRightInd w:val="0"/>
        <w:snapToGrid w:val="0"/>
        <w:spacing w:line="360" w:lineRule="auto"/>
        <w:ind w:firstLine="480" w:firstLineChars="200"/>
        <w:rPr>
          <w:rFonts w:eastAsiaTheme="minorEastAsia"/>
          <w:sz w:val="24"/>
        </w:rPr>
      </w:pPr>
      <w:r>
        <w:rPr>
          <w:rFonts w:eastAsiaTheme="minorEastAsia"/>
          <w:sz w:val="24"/>
        </w:rPr>
        <w:t>第七条 开箱检验</w:t>
      </w:r>
    </w:p>
    <w:p>
      <w:pPr>
        <w:adjustRightInd w:val="0"/>
        <w:spacing w:line="360" w:lineRule="auto"/>
        <w:ind w:firstLine="482" w:firstLineChars="200"/>
        <w:rPr>
          <w:rFonts w:eastAsiaTheme="minorEastAsia"/>
          <w:b/>
          <w:bCs/>
          <w:sz w:val="24"/>
        </w:rPr>
      </w:pPr>
      <w:r>
        <w:rPr>
          <w:rFonts w:eastAsiaTheme="minorEastAsia"/>
          <w:b/>
          <w:bCs/>
          <w:sz w:val="24"/>
        </w:rPr>
        <w:t>7.1开箱检验</w:t>
      </w:r>
    </w:p>
    <w:p>
      <w:pPr>
        <w:adjustRightInd w:val="0"/>
        <w:spacing w:line="360" w:lineRule="auto"/>
        <w:ind w:firstLine="480" w:firstLineChars="200"/>
        <w:rPr>
          <w:rFonts w:eastAsiaTheme="minorEastAsia"/>
          <w:sz w:val="24"/>
        </w:rPr>
      </w:pPr>
      <w:r>
        <w:rPr>
          <w:rFonts w:eastAsiaTheme="minorEastAsia"/>
          <w:sz w:val="24"/>
        </w:rPr>
        <w:t>1、合同货物交付后应进行开箱检验，即合同货物数量及外观检验。如果开箱检验不在合同货物交付时进行，甲方应在开箱检验前3日前将开箱检验的时间和地点通知乙方。</w:t>
      </w:r>
    </w:p>
    <w:p>
      <w:pPr>
        <w:adjustRightInd w:val="0"/>
        <w:spacing w:line="360" w:lineRule="auto"/>
        <w:ind w:firstLine="480" w:firstLineChars="200"/>
        <w:rPr>
          <w:rFonts w:eastAsiaTheme="minorEastAsia"/>
          <w:sz w:val="24"/>
        </w:rPr>
      </w:pPr>
      <w:r>
        <w:rPr>
          <w:rFonts w:eastAsiaTheme="minorEastAsia"/>
          <w:sz w:val="24"/>
        </w:rPr>
        <w:t>2、开箱检验应由双方共同进行，乙方应自负费用派遣代表到场参加开箱检验。</w:t>
      </w:r>
    </w:p>
    <w:p>
      <w:pPr>
        <w:adjustRightInd w:val="0"/>
        <w:spacing w:line="360" w:lineRule="auto"/>
        <w:ind w:firstLine="480" w:firstLineChars="200"/>
        <w:rPr>
          <w:rFonts w:eastAsiaTheme="minorEastAsia"/>
          <w:sz w:val="24"/>
        </w:rPr>
      </w:pPr>
      <w:r>
        <w:rPr>
          <w:rFonts w:eastAsiaTheme="minorEastAsia"/>
          <w:sz w:val="24"/>
        </w:rPr>
        <w:t>3、开箱检验中，双方应共同签署数量、外观检验报告，报告应列明检验结果，包括检验合格或发现的任何缺陷、损坏或其他与合同约定不符的情形。</w:t>
      </w:r>
    </w:p>
    <w:p>
      <w:pPr>
        <w:adjustRightInd w:val="0"/>
        <w:spacing w:line="360" w:lineRule="auto"/>
        <w:ind w:firstLine="480" w:firstLineChars="200"/>
        <w:rPr>
          <w:rFonts w:eastAsiaTheme="minorEastAsia"/>
          <w:sz w:val="24"/>
        </w:rPr>
      </w:pPr>
      <w:r>
        <w:rPr>
          <w:rFonts w:eastAsiaTheme="minorEastAsia"/>
          <w:sz w:val="24"/>
        </w:rPr>
        <w:t>4、如果乙方代表未能依约或按甲方通知到场参加开箱检验，甲方有权在乙方代表未在场的情况下进行开箱检验，并签署数量、外观检验报告，对于该检验报告和检验结果，视为乙方已接受。</w:t>
      </w:r>
    </w:p>
    <w:p>
      <w:pPr>
        <w:adjustRightInd w:val="0"/>
        <w:spacing w:line="360" w:lineRule="auto"/>
        <w:ind w:firstLine="480" w:firstLineChars="200"/>
        <w:rPr>
          <w:rFonts w:eastAsiaTheme="minorEastAsia"/>
          <w:sz w:val="24"/>
        </w:rPr>
      </w:pPr>
      <w:r>
        <w:rPr>
          <w:rFonts w:eastAsiaTheme="minorEastAsia"/>
          <w:sz w:val="24"/>
        </w:rPr>
        <w:t>5、开箱检验中发现的合同货物的短缺、损坏或其它与合同约定不符的情形，由乙方负责，乙方应补齐、更换及采取其他补救措施。</w:t>
      </w:r>
    </w:p>
    <w:p>
      <w:pPr>
        <w:adjustRightInd w:val="0"/>
        <w:spacing w:line="360" w:lineRule="auto"/>
        <w:ind w:firstLine="480" w:firstLineChars="200"/>
        <w:rPr>
          <w:rFonts w:eastAsiaTheme="minorEastAsia"/>
          <w:sz w:val="24"/>
        </w:rPr>
      </w:pPr>
      <w:r>
        <w:rPr>
          <w:rFonts w:eastAsiaTheme="minorEastAsia"/>
          <w:sz w:val="24"/>
        </w:rPr>
        <w:t>6、开箱检验的检验结果不能对抗在合同货物的安装、调试、考核、验收中及质量保证期内发现的合同货物质量问题，也不能免除或影响乙方按照合同约定对甲方负有的包括合同货物质量在内的任何义务或责任。</w:t>
      </w:r>
    </w:p>
    <w:p>
      <w:pPr>
        <w:adjustRightInd w:val="0"/>
        <w:snapToGrid w:val="0"/>
        <w:spacing w:line="360" w:lineRule="auto"/>
        <w:ind w:firstLine="480" w:firstLineChars="200"/>
        <w:rPr>
          <w:rFonts w:eastAsiaTheme="minorEastAsia"/>
          <w:sz w:val="24"/>
        </w:rPr>
      </w:pPr>
      <w:r>
        <w:rPr>
          <w:rFonts w:eastAsiaTheme="minorEastAsia"/>
          <w:sz w:val="24"/>
        </w:rPr>
        <w:t>第八条 质量保证期</w:t>
      </w:r>
    </w:p>
    <w:p>
      <w:pPr>
        <w:adjustRightInd w:val="0"/>
        <w:spacing w:line="360" w:lineRule="auto"/>
        <w:ind w:firstLine="480" w:firstLineChars="200"/>
        <w:rPr>
          <w:rFonts w:eastAsiaTheme="minorEastAsia"/>
          <w:sz w:val="24"/>
        </w:rPr>
      </w:pPr>
      <w:r>
        <w:rPr>
          <w:rFonts w:eastAsiaTheme="minorEastAsia"/>
          <w:sz w:val="24"/>
        </w:rPr>
        <w:t>8.1合同货物整体质量保证期为验收合格之日起</w:t>
      </w:r>
      <w:r>
        <w:rPr>
          <w:rFonts w:eastAsiaTheme="minorEastAsia"/>
          <w:sz w:val="24"/>
        </w:rPr>
        <w:softHyphen/>
      </w:r>
      <w:r>
        <w:rPr>
          <w:rFonts w:eastAsiaTheme="minorEastAsia"/>
          <w:sz w:val="24"/>
        </w:rPr>
        <w:softHyphen/>
      </w:r>
      <w:r>
        <w:rPr>
          <w:rFonts w:eastAsiaTheme="minorEastAsia"/>
          <w:sz w:val="24"/>
        </w:rPr>
        <w:softHyphen/>
      </w:r>
      <w:r>
        <w:rPr>
          <w:rFonts w:eastAsiaTheme="minorEastAsia"/>
          <w:sz w:val="24"/>
          <w:u w:val="single"/>
        </w:rPr>
        <w:t xml:space="preserve">  12  </w:t>
      </w:r>
      <w:r>
        <w:rPr>
          <w:rFonts w:eastAsiaTheme="minorEastAsia"/>
          <w:sz w:val="24"/>
        </w:rPr>
        <w:t>个月。如果对合同货物中关键部件的质量保证期有特殊要求的，双方可以在补充条款中约定。供货方在质量保证期内应对设备进行定期巡检。</w:t>
      </w:r>
    </w:p>
    <w:p>
      <w:pPr>
        <w:adjustRightInd w:val="0"/>
        <w:spacing w:line="360" w:lineRule="auto"/>
        <w:ind w:firstLine="480" w:firstLineChars="200"/>
        <w:rPr>
          <w:rFonts w:eastAsiaTheme="minorEastAsia"/>
          <w:sz w:val="24"/>
        </w:rPr>
      </w:pPr>
      <w:r>
        <w:rPr>
          <w:rFonts w:eastAsiaTheme="minorEastAsia"/>
          <w:sz w:val="24"/>
        </w:rPr>
        <w:t>8.2在质量保证期内如合同货物出现故障，乙方应自负费用提供质量保证期服务，对相关合同货物进行修理或更换以消除故障。更换的货物和（或）关键部件的质量保证期应重新计算。</w:t>
      </w:r>
    </w:p>
    <w:p>
      <w:pPr>
        <w:adjustRightInd w:val="0"/>
        <w:spacing w:line="360" w:lineRule="auto"/>
        <w:ind w:firstLine="480" w:firstLineChars="200"/>
        <w:rPr>
          <w:rFonts w:eastAsiaTheme="minorEastAsia"/>
          <w:sz w:val="24"/>
        </w:rPr>
      </w:pPr>
      <w:r>
        <w:rPr>
          <w:rFonts w:eastAsiaTheme="minorEastAsia"/>
          <w:sz w:val="24"/>
        </w:rPr>
        <w:t>第九条 质量保证期服务</w:t>
      </w:r>
    </w:p>
    <w:p>
      <w:pPr>
        <w:adjustRightInd w:val="0"/>
        <w:spacing w:line="360" w:lineRule="auto"/>
        <w:ind w:firstLine="480" w:firstLineChars="200"/>
        <w:rPr>
          <w:rFonts w:eastAsiaTheme="minorEastAsia"/>
          <w:sz w:val="24"/>
        </w:rPr>
      </w:pPr>
      <w:r>
        <w:rPr>
          <w:rFonts w:eastAsiaTheme="minorEastAsia"/>
          <w:sz w:val="24"/>
        </w:rPr>
        <w:t>9.1乙方应为质量保证期服务配备充足的技术人员、工具和备件并保证提供的联系方式畅通。乙方应在收到甲方通知后24小时内作出响应，如需乙方到合同货物现场，乙方应在收到甲方通知后48小时内到达，并在到达后7日内解决合同货物的故障（重大故障除外）。如果乙方未在上述时间内作出响应，则甲方有权自行或委托他人解决相关问题或查找和解决合同货物的故障，乙方应承担由此发生的全部费用。</w:t>
      </w:r>
    </w:p>
    <w:p>
      <w:pPr>
        <w:adjustRightInd w:val="0"/>
        <w:spacing w:line="360" w:lineRule="auto"/>
        <w:ind w:firstLine="480" w:firstLineChars="200"/>
        <w:rPr>
          <w:rFonts w:eastAsiaTheme="minorEastAsia"/>
          <w:sz w:val="24"/>
        </w:rPr>
      </w:pPr>
      <w:r>
        <w:rPr>
          <w:rFonts w:eastAsiaTheme="minorEastAsia"/>
          <w:sz w:val="24"/>
        </w:rPr>
        <w:t>9.2如乙方技术人员需到合同货物现场进行质量保证期服务，则乙方技术人员的交通、食宿等费用由乙方承担。乙方技术人员应遵守甲方现场的各项规章制度和安全操作规程，并服从甲方的现场管理。</w:t>
      </w:r>
    </w:p>
    <w:p>
      <w:pPr>
        <w:adjustRightInd w:val="0"/>
        <w:spacing w:line="360" w:lineRule="auto"/>
        <w:ind w:firstLine="480" w:firstLineChars="200"/>
        <w:rPr>
          <w:rFonts w:eastAsiaTheme="minorEastAsia"/>
          <w:sz w:val="24"/>
        </w:rPr>
      </w:pPr>
      <w:r>
        <w:rPr>
          <w:rFonts w:eastAsiaTheme="minorEastAsia"/>
          <w:sz w:val="24"/>
        </w:rPr>
        <w:t>9.3如果乙方的任何技术人员不合格，甲方有权要求乙方撤换，因撤换而产生的费用由乙方承担。</w:t>
      </w:r>
    </w:p>
    <w:p>
      <w:pPr>
        <w:adjustRightInd w:val="0"/>
        <w:spacing w:line="360" w:lineRule="auto"/>
        <w:ind w:firstLine="480" w:firstLineChars="200"/>
        <w:rPr>
          <w:rFonts w:eastAsiaTheme="minorEastAsia"/>
          <w:sz w:val="24"/>
        </w:rPr>
      </w:pPr>
      <w:r>
        <w:rPr>
          <w:rFonts w:eastAsiaTheme="minorEastAsia"/>
          <w:sz w:val="24"/>
        </w:rPr>
        <w:t>9.4乙方在就合同货物现场进行质量保证期服务的情况进行记录，记载合同货物故障发生的时间、原因及解决情况等，由甲方签字确认，并在质量保证期结束后提交给甲方。</w:t>
      </w:r>
    </w:p>
    <w:p>
      <w:pPr>
        <w:adjustRightInd w:val="0"/>
        <w:spacing w:line="360" w:lineRule="auto"/>
        <w:ind w:firstLine="480" w:firstLineChars="200"/>
        <w:rPr>
          <w:rFonts w:eastAsiaTheme="minorEastAsia"/>
          <w:sz w:val="24"/>
        </w:rPr>
      </w:pPr>
      <w:r>
        <w:rPr>
          <w:rFonts w:eastAsiaTheme="minorEastAsia"/>
          <w:sz w:val="24"/>
        </w:rPr>
        <w:t>第十条 履约保证金（非必选项）</w:t>
      </w:r>
    </w:p>
    <w:p>
      <w:pPr>
        <w:adjustRightInd w:val="0"/>
        <w:spacing w:line="360" w:lineRule="auto"/>
        <w:ind w:firstLine="480" w:firstLineChars="200"/>
        <w:rPr>
          <w:rFonts w:eastAsiaTheme="minorEastAsia"/>
          <w:sz w:val="24"/>
        </w:rPr>
      </w:pPr>
      <w:r>
        <w:rPr>
          <w:rFonts w:eastAsiaTheme="minorEastAsia"/>
          <w:sz w:val="24"/>
        </w:rPr>
        <w:t>10.1除本合同另有约定外，自本合同生效之日起</w:t>
      </w:r>
      <w:r>
        <w:rPr>
          <w:rFonts w:eastAsiaTheme="minorEastAsia"/>
          <w:sz w:val="24"/>
          <w:u w:val="single"/>
        </w:rPr>
        <w:t xml:space="preserve"> </w:t>
      </w:r>
      <w:r>
        <w:rPr>
          <w:rFonts w:hint="eastAsia" w:eastAsiaTheme="minorEastAsia"/>
          <w:sz w:val="24"/>
          <w:u w:val="single"/>
        </w:rPr>
        <w:t>/</w:t>
      </w:r>
      <w:r>
        <w:rPr>
          <w:rFonts w:eastAsiaTheme="minorEastAsia"/>
          <w:sz w:val="24"/>
          <w:u w:val="single"/>
        </w:rPr>
        <w:t xml:space="preserve"> </w:t>
      </w:r>
      <w:r>
        <w:rPr>
          <w:rFonts w:eastAsiaTheme="minorEastAsia"/>
          <w:sz w:val="24"/>
        </w:rPr>
        <w:t>日内，乙方以支票、汇款的方式向甲方支付合同价款</w:t>
      </w:r>
      <w:r>
        <w:rPr>
          <w:rFonts w:eastAsiaTheme="minorEastAsia"/>
          <w:sz w:val="24"/>
          <w:u w:val="single"/>
        </w:rPr>
        <w:t xml:space="preserve"> </w:t>
      </w:r>
      <w:r>
        <w:rPr>
          <w:rFonts w:hint="eastAsia" w:eastAsiaTheme="minorEastAsia"/>
          <w:sz w:val="24"/>
          <w:u w:val="single"/>
        </w:rPr>
        <w:t>/</w:t>
      </w:r>
      <w:r>
        <w:rPr>
          <w:rFonts w:eastAsiaTheme="minorEastAsia"/>
          <w:sz w:val="24"/>
          <w:u w:val="single"/>
        </w:rPr>
        <w:t xml:space="preserve"> </w:t>
      </w:r>
      <w:r>
        <w:rPr>
          <w:rFonts w:eastAsiaTheme="minorEastAsia"/>
          <w:sz w:val="24"/>
        </w:rPr>
        <w:t>%（不超过10%且不低于5%），即</w:t>
      </w:r>
      <w:r>
        <w:rPr>
          <w:rFonts w:eastAsiaTheme="minorEastAsia"/>
          <w:bCs/>
          <w:sz w:val="24"/>
        </w:rPr>
        <w:t>￥</w:t>
      </w:r>
      <w:r>
        <w:rPr>
          <w:rFonts w:eastAsiaTheme="minorEastAsia"/>
          <w:bCs/>
          <w:sz w:val="24"/>
          <w:u w:val="single"/>
        </w:rPr>
        <w:t xml:space="preserve"> </w:t>
      </w:r>
      <w:r>
        <w:rPr>
          <w:rFonts w:hint="eastAsia" w:eastAsiaTheme="minorEastAsia"/>
          <w:bCs/>
          <w:sz w:val="24"/>
          <w:u w:val="single"/>
        </w:rPr>
        <w:t>/</w:t>
      </w:r>
      <w:r>
        <w:rPr>
          <w:rFonts w:eastAsiaTheme="minorEastAsia"/>
          <w:bCs/>
          <w:sz w:val="24"/>
          <w:u w:val="single"/>
        </w:rPr>
        <w:t xml:space="preserve"> 元</w:t>
      </w:r>
      <w:r>
        <w:rPr>
          <w:rFonts w:eastAsiaTheme="minorEastAsia"/>
          <w:sz w:val="24"/>
        </w:rPr>
        <w:t>的履约保证金。</w:t>
      </w:r>
    </w:p>
    <w:p>
      <w:pPr>
        <w:adjustRightInd w:val="0"/>
        <w:spacing w:line="360" w:lineRule="auto"/>
        <w:ind w:firstLine="480" w:firstLineChars="200"/>
        <w:rPr>
          <w:rFonts w:eastAsiaTheme="minorEastAsia"/>
          <w:sz w:val="24"/>
        </w:rPr>
      </w:pPr>
      <w:r>
        <w:rPr>
          <w:rFonts w:eastAsiaTheme="minorEastAsia"/>
          <w:sz w:val="24"/>
        </w:rPr>
        <w:t>10.2如果乙方不履行合同约定的义务或其履行义务不符合合同的约定，甲方有权直接从履约保证金中划扣甲方应得之补偿。履约保证金不足以补偿甲方之损失的，甲方有权继续向乙方进行追偿。</w:t>
      </w:r>
    </w:p>
    <w:p>
      <w:pPr>
        <w:adjustRightInd w:val="0"/>
        <w:spacing w:line="360" w:lineRule="auto"/>
        <w:ind w:firstLine="480" w:firstLineChars="200"/>
        <w:rPr>
          <w:rFonts w:eastAsiaTheme="minorEastAsia"/>
          <w:sz w:val="24"/>
        </w:rPr>
      </w:pPr>
      <w:r>
        <w:rPr>
          <w:rFonts w:eastAsiaTheme="minorEastAsia"/>
          <w:sz w:val="24"/>
        </w:rPr>
        <w:t>10.3合同货物经甲方验收合格满</w:t>
      </w:r>
      <w:r>
        <w:rPr>
          <w:rFonts w:eastAsiaTheme="minorEastAsia"/>
          <w:sz w:val="24"/>
          <w:u w:val="single"/>
        </w:rPr>
        <w:t xml:space="preserve"> </w:t>
      </w:r>
      <w:r>
        <w:rPr>
          <w:rFonts w:hint="eastAsia" w:eastAsiaTheme="minorEastAsia"/>
          <w:sz w:val="24"/>
          <w:u w:val="single"/>
        </w:rPr>
        <w:t>/</w:t>
      </w:r>
      <w:r>
        <w:rPr>
          <w:rFonts w:eastAsiaTheme="minorEastAsia"/>
          <w:sz w:val="24"/>
          <w:u w:val="single"/>
        </w:rPr>
        <w:t xml:space="preserve"> </w:t>
      </w:r>
      <w:r>
        <w:rPr>
          <w:rFonts w:eastAsiaTheme="minorEastAsia"/>
          <w:sz w:val="24"/>
        </w:rPr>
        <w:t>月（一般不少于3个月），甲方把履约保证金无息退还给乙方。</w:t>
      </w:r>
    </w:p>
    <w:p>
      <w:pPr>
        <w:adjustRightInd w:val="0"/>
        <w:spacing w:line="360" w:lineRule="auto"/>
        <w:ind w:firstLine="480" w:firstLineChars="200"/>
        <w:rPr>
          <w:rFonts w:eastAsiaTheme="minorEastAsia"/>
          <w:sz w:val="24"/>
        </w:rPr>
      </w:pPr>
      <w:r>
        <w:rPr>
          <w:rFonts w:eastAsiaTheme="minorEastAsia"/>
          <w:sz w:val="24"/>
        </w:rPr>
        <w:t>第十一条 保证</w:t>
      </w:r>
    </w:p>
    <w:p>
      <w:pPr>
        <w:adjustRightInd w:val="0"/>
        <w:spacing w:line="360" w:lineRule="auto"/>
        <w:ind w:firstLine="480" w:firstLineChars="200"/>
        <w:rPr>
          <w:rFonts w:eastAsiaTheme="minorEastAsia"/>
          <w:sz w:val="24"/>
        </w:rPr>
      </w:pPr>
      <w:r>
        <w:rPr>
          <w:rFonts w:eastAsiaTheme="minorEastAsia"/>
          <w:sz w:val="24"/>
        </w:rPr>
        <w:t>11.1乙方保证其具有完全的能力履行本合同项下的全部义务。</w:t>
      </w:r>
    </w:p>
    <w:p>
      <w:pPr>
        <w:adjustRightInd w:val="0"/>
        <w:spacing w:line="360" w:lineRule="auto"/>
        <w:ind w:firstLine="480" w:firstLineChars="200"/>
        <w:rPr>
          <w:rFonts w:eastAsiaTheme="minorEastAsia"/>
          <w:sz w:val="24"/>
        </w:rPr>
      </w:pPr>
      <w:r>
        <w:rPr>
          <w:rFonts w:eastAsiaTheme="minorEastAsia"/>
          <w:sz w:val="24"/>
        </w:rPr>
        <w:t>11.2乙方保证其所提供的合同货物及对合同的履行符合所有应适用的法律、行政法规、地方性法规、自治条例和单行条例、规章及其他规范性文件的强制性规定。</w:t>
      </w:r>
    </w:p>
    <w:p>
      <w:pPr>
        <w:adjustRightInd w:val="0"/>
        <w:spacing w:line="360" w:lineRule="auto"/>
        <w:ind w:firstLine="480" w:firstLineChars="200"/>
        <w:rPr>
          <w:rFonts w:eastAsiaTheme="minorEastAsia"/>
          <w:sz w:val="24"/>
        </w:rPr>
      </w:pPr>
      <w:r>
        <w:rPr>
          <w:rFonts w:eastAsiaTheme="minorEastAsia"/>
          <w:sz w:val="24"/>
        </w:rPr>
        <w:t>11.3乙方保证其对合同货物的销售不损害任何第三方的合法权益和社会公共利益。任何第三方不会因乙方原因而基于所有权、抵押权、留置权或其他任何权利或事由对合同货物主张权利。</w:t>
      </w:r>
    </w:p>
    <w:p>
      <w:pPr>
        <w:adjustRightInd w:val="0"/>
        <w:spacing w:line="360" w:lineRule="auto"/>
        <w:ind w:firstLine="480" w:firstLineChars="200"/>
        <w:rPr>
          <w:rFonts w:eastAsiaTheme="minorEastAsia"/>
          <w:sz w:val="24"/>
        </w:rPr>
      </w:pPr>
      <w:r>
        <w:rPr>
          <w:rFonts w:eastAsiaTheme="minorEastAsia"/>
          <w:sz w:val="24"/>
        </w:rPr>
        <w:t>11.4乙方保证合同货物符合合同约定的规格、标准、技术性能考核指标等，能够安全和稳定地运行，且合同货物（包含全部部件）全新、完整、未使用过。</w:t>
      </w:r>
    </w:p>
    <w:p>
      <w:pPr>
        <w:adjustRightInd w:val="0"/>
        <w:spacing w:line="360" w:lineRule="auto"/>
        <w:ind w:firstLine="480" w:firstLineChars="200"/>
        <w:rPr>
          <w:rFonts w:eastAsiaTheme="minorEastAsia"/>
          <w:sz w:val="24"/>
        </w:rPr>
      </w:pPr>
      <w:r>
        <w:rPr>
          <w:rFonts w:eastAsiaTheme="minorEastAsia"/>
          <w:sz w:val="24"/>
        </w:rPr>
        <w:t>11.5乙方保证，乙方所提供的技术资料完整、清晰、准确，符合合同约定并且能够满足合同货物的安装、调试、考核、操作以及维修和保养的需要。</w:t>
      </w:r>
    </w:p>
    <w:p>
      <w:pPr>
        <w:adjustRightInd w:val="0"/>
        <w:spacing w:line="360" w:lineRule="auto"/>
        <w:ind w:firstLine="480" w:firstLineChars="200"/>
        <w:rPr>
          <w:rFonts w:eastAsiaTheme="minorEastAsia"/>
          <w:sz w:val="24"/>
        </w:rPr>
      </w:pPr>
      <w:r>
        <w:rPr>
          <w:rFonts w:eastAsiaTheme="minorEastAsia"/>
          <w:sz w:val="24"/>
        </w:rPr>
        <w:t>11.6乙方保证合同范围内提供的备品备件能够满足合同货物在质量保证期结束前正常运行及维修的需要，如在质量保证期结束前出现备品备件短缺影响合同货物正常运行的，乙方应免费提供。</w:t>
      </w:r>
    </w:p>
    <w:p>
      <w:pPr>
        <w:adjustRightInd w:val="0"/>
        <w:spacing w:line="360" w:lineRule="auto"/>
        <w:ind w:firstLine="480" w:firstLineChars="200"/>
        <w:rPr>
          <w:rFonts w:eastAsiaTheme="minorEastAsia"/>
          <w:sz w:val="24"/>
        </w:rPr>
      </w:pPr>
      <w:r>
        <w:rPr>
          <w:rFonts w:eastAsiaTheme="minorEastAsia"/>
          <w:sz w:val="24"/>
        </w:rPr>
        <w:t>11.7如果在合同货物设计使用寿命期内发生合同项下备品备件停止生产的情况，乙方应事先将拟停止生产的计划通知甲方，使甲方有足够的时间考虑备品备件的需求量。根据甲方要求，乙方应：</w:t>
      </w:r>
    </w:p>
    <w:p>
      <w:pPr>
        <w:adjustRightInd w:val="0"/>
        <w:spacing w:line="360" w:lineRule="auto"/>
        <w:ind w:firstLine="480" w:firstLineChars="200"/>
        <w:rPr>
          <w:rFonts w:eastAsiaTheme="minorEastAsia"/>
          <w:sz w:val="24"/>
        </w:rPr>
      </w:pPr>
      <w:r>
        <w:rPr>
          <w:rFonts w:eastAsiaTheme="minorEastAsia"/>
          <w:sz w:val="24"/>
        </w:rPr>
        <w:t>（1）以不高于同期市场价格或其向任何第三方销售同类产品的价格提供合同货物正常运行所需的全部备品备件。</w:t>
      </w:r>
    </w:p>
    <w:p>
      <w:pPr>
        <w:adjustRightInd w:val="0"/>
        <w:spacing w:line="360" w:lineRule="auto"/>
        <w:ind w:firstLine="480" w:firstLineChars="200"/>
        <w:rPr>
          <w:rFonts w:eastAsiaTheme="minorEastAsia"/>
          <w:sz w:val="24"/>
        </w:rPr>
      </w:pPr>
      <w:r>
        <w:rPr>
          <w:rFonts w:eastAsiaTheme="minorEastAsia"/>
          <w:sz w:val="24"/>
        </w:rPr>
        <w:t>（2）免费提供可供甲方或第三方制造停产产品备品备件所需的全部技术资料，以便甲方持续获得上述备品备件以满足合同货物在寿命期内正常运行的需要。乙方保证甲方或甲方委托的第三方制造及甲方使用这些备品备件不侵犯任何人的知识产权。</w:t>
      </w:r>
    </w:p>
    <w:p>
      <w:pPr>
        <w:adjustRightInd w:val="0"/>
        <w:spacing w:line="360" w:lineRule="auto"/>
        <w:ind w:firstLine="480" w:firstLineChars="200"/>
        <w:rPr>
          <w:rFonts w:eastAsiaTheme="minorEastAsia"/>
          <w:sz w:val="24"/>
        </w:rPr>
      </w:pPr>
      <w:r>
        <w:rPr>
          <w:rFonts w:eastAsiaTheme="minorEastAsia"/>
          <w:sz w:val="24"/>
        </w:rPr>
        <w:t>11.8乙方保证，在合同货物设计使用寿命期内，如果乙方发现合同货物由于设计、制造、标识等原因存在危及人身、财产安全的缺陷，乙方应及时通知甲方并及时采取修正或者补充标识、修理、更换等措施消除缺陷。</w:t>
      </w:r>
    </w:p>
    <w:p>
      <w:pPr>
        <w:adjustRightInd w:val="0"/>
        <w:spacing w:line="360" w:lineRule="auto"/>
        <w:ind w:firstLine="480" w:firstLineChars="200"/>
        <w:rPr>
          <w:rFonts w:eastAsiaTheme="minorEastAsia"/>
          <w:sz w:val="24"/>
        </w:rPr>
      </w:pPr>
      <w:r>
        <w:rPr>
          <w:rFonts w:eastAsiaTheme="minorEastAsia"/>
          <w:sz w:val="24"/>
        </w:rPr>
        <w:t>11.9乙方同意甲方按照政府采购法实施条例的有关规定于本合同生效之日起2个工作日内在省级以上人民政府财政部门指定的媒体上公告本合同。在本合同签订前，经乙方书面申请并经甲方审核确认，涉及国家秘密、商业秘密的除外。</w:t>
      </w:r>
    </w:p>
    <w:p>
      <w:pPr>
        <w:adjustRightInd w:val="0"/>
        <w:spacing w:line="360" w:lineRule="auto"/>
        <w:ind w:firstLine="480" w:firstLineChars="200"/>
        <w:rPr>
          <w:rFonts w:eastAsiaTheme="minorEastAsia"/>
          <w:sz w:val="24"/>
        </w:rPr>
      </w:pPr>
      <w:r>
        <w:rPr>
          <w:rFonts w:eastAsiaTheme="minorEastAsia"/>
          <w:sz w:val="24"/>
        </w:rPr>
        <w:t>第十二条 廉洁条款</w:t>
      </w:r>
    </w:p>
    <w:p>
      <w:pPr>
        <w:adjustRightInd w:val="0"/>
        <w:spacing w:line="360" w:lineRule="auto"/>
        <w:ind w:firstLine="480" w:firstLineChars="200"/>
        <w:rPr>
          <w:rFonts w:eastAsiaTheme="minorEastAsia"/>
          <w:sz w:val="24"/>
        </w:rPr>
      </w:pPr>
      <w:r>
        <w:rPr>
          <w:rFonts w:eastAsiaTheme="minorEastAsia"/>
          <w:sz w:val="24"/>
        </w:rPr>
        <w:t>乙方保证并承诺，在政府采购、合同签订、履行过程中，未向评标委员会、竞争性谈判小组或者询价小组成员、采购代理机构工作人员、甲方工作人员行贿或者提供其他不正当利益。</w:t>
      </w:r>
    </w:p>
    <w:p>
      <w:pPr>
        <w:adjustRightInd w:val="0"/>
        <w:spacing w:line="360" w:lineRule="auto"/>
        <w:ind w:firstLine="480" w:firstLineChars="200"/>
        <w:rPr>
          <w:rFonts w:eastAsiaTheme="minorEastAsia"/>
          <w:sz w:val="24"/>
        </w:rPr>
      </w:pPr>
      <w:r>
        <w:rPr>
          <w:rFonts w:eastAsiaTheme="minorEastAsia"/>
          <w:sz w:val="24"/>
        </w:rPr>
        <w:t>第十三条 知识产权</w:t>
      </w:r>
    </w:p>
    <w:p>
      <w:pPr>
        <w:adjustRightInd w:val="0"/>
        <w:spacing w:line="360" w:lineRule="auto"/>
        <w:ind w:firstLine="480" w:firstLineChars="200"/>
        <w:rPr>
          <w:rFonts w:eastAsiaTheme="minorEastAsia"/>
          <w:sz w:val="24"/>
        </w:rPr>
      </w:pPr>
      <w:r>
        <w:rPr>
          <w:rFonts w:eastAsiaTheme="minorEastAsia"/>
          <w:sz w:val="24"/>
        </w:rPr>
        <w:t>13.1甲方在履行合同过程中提供给乙方的全部图纸、文件和其他含有数据和信息的资料，其知识产权属于甲方。未经甲方同意，乙方不得将其用于本合同目的之外的其他用途，且不得擅自向第三方转让、披露。</w:t>
      </w:r>
    </w:p>
    <w:p>
      <w:pPr>
        <w:adjustRightInd w:val="0"/>
        <w:spacing w:line="360" w:lineRule="auto"/>
        <w:ind w:firstLine="480" w:firstLineChars="200"/>
        <w:rPr>
          <w:rFonts w:eastAsiaTheme="minorEastAsia"/>
          <w:sz w:val="24"/>
        </w:rPr>
      </w:pPr>
      <w:r>
        <w:rPr>
          <w:rFonts w:eastAsiaTheme="minorEastAsia"/>
          <w:sz w:val="24"/>
        </w:rPr>
        <w:t>13.2如合同货物涉及知识产权，则乙方保证甲方在使用合同货物的过程中免于受到第三方提出的有关知识产权侵权的主张、索赔或诉讼的损失。</w:t>
      </w:r>
    </w:p>
    <w:p>
      <w:pPr>
        <w:adjustRightInd w:val="0"/>
        <w:spacing w:line="360" w:lineRule="auto"/>
        <w:ind w:firstLine="480" w:firstLineChars="200"/>
        <w:rPr>
          <w:rFonts w:eastAsiaTheme="minorEastAsia"/>
          <w:sz w:val="24"/>
        </w:rPr>
      </w:pPr>
      <w:r>
        <w:rPr>
          <w:rFonts w:eastAsiaTheme="minorEastAsia"/>
          <w:sz w:val="24"/>
        </w:rPr>
        <w:t>13.3如果甲方收到任何第三方有关知识产权的主张、索赔或诉讼，乙方应自负费用处理与第三方的索赔或诉讼，并赔偿甲方因此发生的费用和遭受的损失。如果乙方拒绝处理前述索赔或诉讼，甲方以自己的名义进行这些索赔或诉讼，因此发生的费用和遭受的损失均由乙方承担。</w:t>
      </w:r>
    </w:p>
    <w:p>
      <w:pPr>
        <w:adjustRightInd w:val="0"/>
        <w:spacing w:line="360" w:lineRule="auto"/>
        <w:ind w:firstLine="480" w:firstLineChars="200"/>
        <w:rPr>
          <w:rFonts w:eastAsiaTheme="minorEastAsia"/>
          <w:sz w:val="24"/>
        </w:rPr>
      </w:pPr>
      <w:r>
        <w:rPr>
          <w:rFonts w:eastAsiaTheme="minorEastAsia"/>
          <w:sz w:val="24"/>
        </w:rPr>
        <w:t>第十四条 保密</w:t>
      </w:r>
    </w:p>
    <w:p>
      <w:pPr>
        <w:adjustRightInd w:val="0"/>
        <w:spacing w:line="360" w:lineRule="auto"/>
        <w:ind w:firstLine="480" w:firstLineChars="200"/>
        <w:rPr>
          <w:rFonts w:eastAsiaTheme="minorEastAsia"/>
          <w:sz w:val="24"/>
        </w:rPr>
      </w:pPr>
      <w:r>
        <w:rPr>
          <w:rFonts w:eastAsiaTheme="minorEastAsia"/>
          <w:sz w:val="24"/>
        </w:rPr>
        <w:t>14.1合同双方应对因履行合同而取得的另一方当事人的信息、资料等予以保密。未经另一方当事人书面同意，任何一方均不得为与履行合同无关的目的使用或向第三方披露另一方当事人提供的信息、资料。</w:t>
      </w:r>
    </w:p>
    <w:p>
      <w:pPr>
        <w:adjustRightInd w:val="0"/>
        <w:spacing w:line="360" w:lineRule="auto"/>
        <w:ind w:firstLine="480" w:firstLineChars="200"/>
        <w:rPr>
          <w:rFonts w:eastAsiaTheme="minorEastAsia"/>
          <w:sz w:val="24"/>
        </w:rPr>
      </w:pPr>
      <w:r>
        <w:rPr>
          <w:rFonts w:eastAsiaTheme="minorEastAsia"/>
          <w:sz w:val="24"/>
        </w:rPr>
        <w:t>14.2合同当事人的保密义务不适用于下列信息：</w:t>
      </w:r>
    </w:p>
    <w:p>
      <w:pPr>
        <w:adjustRightInd w:val="0"/>
        <w:spacing w:line="360" w:lineRule="auto"/>
        <w:ind w:firstLine="480" w:firstLineChars="200"/>
        <w:rPr>
          <w:rFonts w:eastAsiaTheme="minorEastAsia"/>
          <w:sz w:val="24"/>
        </w:rPr>
      </w:pPr>
      <w:r>
        <w:rPr>
          <w:rFonts w:eastAsiaTheme="minorEastAsia"/>
          <w:sz w:val="24"/>
        </w:rPr>
        <w:t>（1）非因接受信息一方的过失现在或以后进入公共领域的信息；</w:t>
      </w:r>
    </w:p>
    <w:p>
      <w:pPr>
        <w:adjustRightInd w:val="0"/>
        <w:spacing w:line="360" w:lineRule="auto"/>
        <w:ind w:firstLine="480" w:firstLineChars="200"/>
        <w:rPr>
          <w:rFonts w:eastAsiaTheme="minorEastAsia"/>
          <w:sz w:val="24"/>
        </w:rPr>
      </w:pPr>
      <w:r>
        <w:rPr>
          <w:rFonts w:eastAsiaTheme="minorEastAsia"/>
          <w:sz w:val="24"/>
        </w:rPr>
        <w:t>（2）接受信息一方当事人合法地从第三方获得并且据其善意了解第三方也不对此承担保密义务的信息；</w:t>
      </w:r>
    </w:p>
    <w:p>
      <w:pPr>
        <w:adjustRightInd w:val="0"/>
        <w:spacing w:line="360" w:lineRule="auto"/>
        <w:ind w:firstLine="480" w:firstLineChars="200"/>
        <w:rPr>
          <w:rFonts w:eastAsiaTheme="minorEastAsia"/>
          <w:sz w:val="24"/>
        </w:rPr>
      </w:pPr>
      <w:r>
        <w:rPr>
          <w:rFonts w:eastAsiaTheme="minorEastAsia"/>
          <w:sz w:val="24"/>
        </w:rPr>
        <w:t>（3）法律或法律的执行要求披露的信息。</w:t>
      </w:r>
    </w:p>
    <w:p>
      <w:pPr>
        <w:adjustRightInd w:val="0"/>
        <w:spacing w:line="360" w:lineRule="auto"/>
        <w:ind w:firstLine="480" w:firstLineChars="200"/>
        <w:rPr>
          <w:rFonts w:eastAsiaTheme="minorEastAsia"/>
          <w:sz w:val="24"/>
        </w:rPr>
      </w:pPr>
      <w:r>
        <w:rPr>
          <w:rFonts w:eastAsiaTheme="minorEastAsia"/>
          <w:sz w:val="24"/>
        </w:rPr>
        <w:t>第十五条 违约责任</w:t>
      </w:r>
    </w:p>
    <w:p>
      <w:pPr>
        <w:adjustRightInd w:val="0"/>
        <w:spacing w:line="360" w:lineRule="auto"/>
        <w:ind w:firstLine="480" w:firstLineChars="200"/>
        <w:rPr>
          <w:rFonts w:eastAsiaTheme="minorEastAsia"/>
          <w:sz w:val="24"/>
        </w:rPr>
      </w:pPr>
      <w:r>
        <w:rPr>
          <w:rFonts w:eastAsiaTheme="minorEastAsia"/>
          <w:sz w:val="24"/>
        </w:rPr>
        <w:t>15.1合同一方不履行合同义务、履行合同义务不符合约定或者违反合同项下所作保证的，应向对方承担继续履行、采取修理、更换、退货等补救措施或者赔偿损失等违约责任。</w:t>
      </w:r>
    </w:p>
    <w:p>
      <w:pPr>
        <w:adjustRightInd w:val="0"/>
        <w:spacing w:line="360" w:lineRule="auto"/>
        <w:ind w:firstLine="480" w:firstLineChars="200"/>
        <w:rPr>
          <w:rFonts w:eastAsiaTheme="minorEastAsia"/>
          <w:sz w:val="24"/>
        </w:rPr>
      </w:pPr>
      <w:r>
        <w:rPr>
          <w:rFonts w:eastAsiaTheme="minorEastAsia"/>
          <w:sz w:val="24"/>
        </w:rPr>
        <w:t>15.2乙方未能按时交付合同货物（包含仅延迟交付技术资料但足以导致合同货物安装、调试、考核、验收工作推迟的）的，乙方按照每逾期一日合同价款万分之五的标准向甲方支付迟延交付违约金，逾期超过30日，甲方有权解除合同，并要求乙方支付合同价款</w:t>
      </w:r>
      <w:r>
        <w:rPr>
          <w:rFonts w:eastAsiaTheme="minorEastAsia"/>
          <w:sz w:val="24"/>
          <w:u w:val="single"/>
        </w:rPr>
        <w:t xml:space="preserve">  10  </w:t>
      </w:r>
      <w:r>
        <w:rPr>
          <w:rFonts w:eastAsiaTheme="minorEastAsia"/>
          <w:sz w:val="24"/>
        </w:rPr>
        <w:t>%的违约金，违约金不足以弥补甲方损失的，乙方应继续赔偿甲方所有损失。</w:t>
      </w:r>
    </w:p>
    <w:p>
      <w:pPr>
        <w:adjustRightInd w:val="0"/>
        <w:spacing w:line="360" w:lineRule="auto"/>
        <w:ind w:firstLine="480" w:firstLineChars="200"/>
        <w:rPr>
          <w:rFonts w:eastAsiaTheme="minorEastAsia"/>
          <w:sz w:val="24"/>
        </w:rPr>
      </w:pPr>
      <w:r>
        <w:rPr>
          <w:rFonts w:eastAsiaTheme="minorEastAsia"/>
          <w:sz w:val="24"/>
        </w:rPr>
        <w:t>15.3乙方提供的合同货物为假冒伪劣产品的，甲方有权解除合同，并按照合同价款30%向甲方支付违约金。</w:t>
      </w:r>
    </w:p>
    <w:p>
      <w:pPr>
        <w:adjustRightInd w:val="0"/>
        <w:spacing w:line="360" w:lineRule="auto"/>
        <w:ind w:firstLine="480" w:firstLineChars="200"/>
        <w:rPr>
          <w:rFonts w:eastAsiaTheme="minorEastAsia"/>
          <w:sz w:val="24"/>
        </w:rPr>
      </w:pPr>
      <w:r>
        <w:rPr>
          <w:rFonts w:eastAsiaTheme="minorEastAsia"/>
          <w:sz w:val="24"/>
        </w:rPr>
        <w:t>15.4乙方将本合同项下的义务转包给第三方的，甲方有权解除合同，并要求乙方支付合同价款</w:t>
      </w:r>
      <w:r>
        <w:rPr>
          <w:rFonts w:eastAsiaTheme="minorEastAsia"/>
          <w:sz w:val="24"/>
          <w:u w:val="single"/>
        </w:rPr>
        <w:t xml:space="preserve">  10  </w:t>
      </w:r>
      <w:r>
        <w:rPr>
          <w:rFonts w:eastAsiaTheme="minorEastAsia"/>
          <w:sz w:val="24"/>
        </w:rPr>
        <w:t>%的违约金，违约金不足以弥补甲方损失的，乙方应继续赔偿甲方所有损失。</w:t>
      </w:r>
    </w:p>
    <w:p>
      <w:pPr>
        <w:adjustRightInd w:val="0"/>
        <w:spacing w:line="360" w:lineRule="auto"/>
        <w:ind w:firstLine="480" w:firstLineChars="200"/>
        <w:rPr>
          <w:rFonts w:eastAsiaTheme="minorEastAsia"/>
          <w:sz w:val="24"/>
        </w:rPr>
      </w:pPr>
      <w:r>
        <w:rPr>
          <w:rFonts w:eastAsiaTheme="minorEastAsia"/>
          <w:sz w:val="24"/>
        </w:rPr>
        <w:t>15.5乙方擅自将合同转包或提供假冒伪劣产品或擅自变更、中止、终止合同，甲方在要求乙方承担违约责任的同时，保留向相关主管部门投诉、举报等相关权利。</w:t>
      </w:r>
    </w:p>
    <w:p>
      <w:pPr>
        <w:adjustRightInd w:val="0"/>
        <w:spacing w:line="360" w:lineRule="auto"/>
        <w:ind w:firstLine="480" w:firstLineChars="200"/>
        <w:rPr>
          <w:rFonts w:eastAsiaTheme="minorEastAsia"/>
          <w:sz w:val="24"/>
        </w:rPr>
      </w:pPr>
      <w:r>
        <w:rPr>
          <w:rFonts w:eastAsiaTheme="minorEastAsia"/>
          <w:sz w:val="24"/>
        </w:rPr>
        <w:t>第十六条 合同的解除、终止</w:t>
      </w:r>
    </w:p>
    <w:p>
      <w:pPr>
        <w:adjustRightInd w:val="0"/>
        <w:spacing w:line="360" w:lineRule="auto"/>
        <w:ind w:firstLine="480" w:firstLineChars="200"/>
        <w:rPr>
          <w:rFonts w:eastAsiaTheme="minorEastAsia"/>
          <w:sz w:val="24"/>
        </w:rPr>
      </w:pPr>
      <w:r>
        <w:rPr>
          <w:rFonts w:eastAsiaTheme="minorEastAsia"/>
          <w:sz w:val="24"/>
        </w:rPr>
        <w:t>16.1有下列情形之一，当事人可以发出书面通知解除合同，合同自通知到达对方时解除：</w:t>
      </w:r>
    </w:p>
    <w:p>
      <w:pPr>
        <w:adjustRightInd w:val="0"/>
        <w:spacing w:line="360" w:lineRule="auto"/>
        <w:ind w:firstLine="480" w:firstLineChars="200"/>
        <w:rPr>
          <w:rFonts w:eastAsiaTheme="minorEastAsia"/>
          <w:sz w:val="24"/>
        </w:rPr>
      </w:pPr>
      <w:r>
        <w:rPr>
          <w:rFonts w:eastAsiaTheme="minorEastAsia"/>
          <w:sz w:val="24"/>
        </w:rPr>
        <w:t>（1）乙方迟延交付合同货物超过30日；</w:t>
      </w:r>
    </w:p>
    <w:p>
      <w:pPr>
        <w:adjustRightInd w:val="0"/>
        <w:spacing w:line="360" w:lineRule="auto"/>
        <w:ind w:firstLine="480" w:firstLineChars="200"/>
        <w:rPr>
          <w:rFonts w:eastAsiaTheme="minorEastAsia"/>
          <w:sz w:val="24"/>
        </w:rPr>
      </w:pPr>
      <w:r>
        <w:rPr>
          <w:rFonts w:eastAsiaTheme="minorEastAsia"/>
          <w:sz w:val="24"/>
        </w:rPr>
        <w:t>（2）合同货物由于乙方原因三次考核均未能达到技术性能考核指标；</w:t>
      </w:r>
    </w:p>
    <w:p>
      <w:pPr>
        <w:adjustRightInd w:val="0"/>
        <w:spacing w:line="360" w:lineRule="auto"/>
        <w:ind w:firstLine="480" w:firstLineChars="200"/>
        <w:rPr>
          <w:rFonts w:eastAsiaTheme="minorEastAsia"/>
          <w:sz w:val="24"/>
        </w:rPr>
      </w:pPr>
      <w:r>
        <w:rPr>
          <w:rFonts w:eastAsiaTheme="minorEastAsia"/>
          <w:sz w:val="24"/>
        </w:rPr>
        <w:t>（3）合同一方当事人出现破产、清算、资不抵债、成为失信被执行人等可能丧失履约能力的情形，且未能提供令对方满意的担保；</w:t>
      </w:r>
    </w:p>
    <w:p>
      <w:pPr>
        <w:adjustRightInd w:val="0"/>
        <w:spacing w:line="360" w:lineRule="auto"/>
        <w:ind w:firstLine="480" w:firstLineChars="200"/>
        <w:rPr>
          <w:rFonts w:eastAsiaTheme="minorEastAsia"/>
          <w:sz w:val="24"/>
        </w:rPr>
      </w:pPr>
      <w:r>
        <w:rPr>
          <w:rFonts w:eastAsiaTheme="minorEastAsia"/>
          <w:sz w:val="24"/>
        </w:rPr>
        <w:t>（4）乙方提供的合同货物为假冒伪劣产品；</w:t>
      </w:r>
    </w:p>
    <w:p>
      <w:pPr>
        <w:adjustRightInd w:val="0"/>
        <w:spacing w:line="360" w:lineRule="auto"/>
        <w:ind w:firstLine="480" w:firstLineChars="200"/>
        <w:rPr>
          <w:rFonts w:eastAsiaTheme="minorEastAsia"/>
          <w:sz w:val="24"/>
        </w:rPr>
      </w:pPr>
      <w:r>
        <w:rPr>
          <w:rFonts w:eastAsiaTheme="minorEastAsia"/>
          <w:sz w:val="24"/>
        </w:rPr>
        <w:t>（5）乙方将本合同项下的义务转包给第三方。</w:t>
      </w:r>
    </w:p>
    <w:p>
      <w:pPr>
        <w:adjustRightInd w:val="0"/>
        <w:spacing w:line="360" w:lineRule="auto"/>
        <w:ind w:firstLine="480" w:firstLineChars="200"/>
        <w:rPr>
          <w:rFonts w:eastAsiaTheme="minorEastAsia"/>
          <w:sz w:val="24"/>
        </w:rPr>
      </w:pPr>
      <w:r>
        <w:rPr>
          <w:rFonts w:eastAsiaTheme="minorEastAsia"/>
          <w:sz w:val="24"/>
        </w:rPr>
        <w:t>16.2乙方分批交付货物，其中一批货物不交付或者交付后由于乙方原因三次考核均未能达到技术性能考核指标的，甲方有权解除本合同。</w:t>
      </w:r>
    </w:p>
    <w:p>
      <w:pPr>
        <w:adjustRightInd w:val="0"/>
        <w:spacing w:line="360" w:lineRule="auto"/>
        <w:ind w:firstLine="480" w:firstLineChars="200"/>
        <w:rPr>
          <w:rFonts w:eastAsiaTheme="minorEastAsia"/>
          <w:sz w:val="24"/>
        </w:rPr>
      </w:pPr>
      <w:r>
        <w:rPr>
          <w:rFonts w:eastAsiaTheme="minorEastAsia"/>
          <w:sz w:val="24"/>
        </w:rPr>
        <w:t>16.3本合同继续履行将损害国家利益和社会公共利益的，双方当事人应当变更、中止或者终止合同。</w:t>
      </w:r>
    </w:p>
    <w:p>
      <w:pPr>
        <w:adjustRightInd w:val="0"/>
        <w:spacing w:line="360" w:lineRule="auto"/>
        <w:ind w:firstLine="480" w:firstLineChars="200"/>
        <w:rPr>
          <w:rFonts w:eastAsiaTheme="minorEastAsia"/>
          <w:sz w:val="24"/>
        </w:rPr>
      </w:pPr>
      <w:r>
        <w:rPr>
          <w:rFonts w:eastAsiaTheme="minorEastAsia"/>
          <w:sz w:val="24"/>
        </w:rPr>
        <w:t>16.4 因乙方原因造成合同解除的，乙方应退回甲方所有交付款项并承担违约责任。</w:t>
      </w:r>
    </w:p>
    <w:p>
      <w:pPr>
        <w:adjustRightInd w:val="0"/>
        <w:spacing w:line="360" w:lineRule="auto"/>
        <w:ind w:firstLine="480" w:firstLineChars="200"/>
        <w:rPr>
          <w:rFonts w:eastAsiaTheme="minorEastAsia"/>
          <w:sz w:val="24"/>
        </w:rPr>
      </w:pPr>
      <w:r>
        <w:rPr>
          <w:rFonts w:eastAsiaTheme="minorEastAsia"/>
          <w:sz w:val="24"/>
        </w:rPr>
        <w:t>第十七条 不可抗力</w:t>
      </w:r>
    </w:p>
    <w:p>
      <w:pPr>
        <w:adjustRightInd w:val="0"/>
        <w:spacing w:line="360" w:lineRule="auto"/>
        <w:ind w:firstLine="480" w:firstLineChars="200"/>
        <w:rPr>
          <w:rFonts w:eastAsiaTheme="minorEastAsia"/>
          <w:sz w:val="24"/>
        </w:rPr>
      </w:pPr>
      <w:r>
        <w:rPr>
          <w:rFonts w:eastAsiaTheme="minorEastAsia"/>
          <w:sz w:val="24"/>
        </w:rPr>
        <w:t>17.1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28日内将有关当局或机构出具的证明文件提交给另一方当事人。</w:t>
      </w:r>
    </w:p>
    <w:p>
      <w:pPr>
        <w:adjustRightInd w:val="0"/>
        <w:spacing w:line="360" w:lineRule="auto"/>
        <w:ind w:firstLine="480" w:firstLineChars="200"/>
        <w:rPr>
          <w:rFonts w:eastAsiaTheme="minorEastAsia"/>
          <w:sz w:val="24"/>
        </w:rPr>
      </w:pPr>
      <w:r>
        <w:rPr>
          <w:rFonts w:eastAsiaTheme="minorEastAsia"/>
          <w:sz w:val="24"/>
        </w:rPr>
        <w:t>17.2受不可抗力事件影响的一方当事人对于不可抗力事件导致的任何合同义务的迟延履行或不能履行不承担违约责任，但该方当事人应尽快将不可抗力事件结束或消除的情况通知另一方当事人。</w:t>
      </w:r>
    </w:p>
    <w:p>
      <w:pPr>
        <w:adjustRightInd w:val="0"/>
        <w:spacing w:line="360" w:lineRule="auto"/>
        <w:ind w:firstLine="480" w:firstLineChars="200"/>
        <w:rPr>
          <w:rFonts w:eastAsiaTheme="minorEastAsia"/>
          <w:sz w:val="24"/>
        </w:rPr>
      </w:pPr>
      <w:r>
        <w:rPr>
          <w:rFonts w:eastAsiaTheme="minorEastAsia"/>
          <w:sz w:val="24"/>
        </w:rPr>
        <w:t>17.3双方应在不可抗力事件结束或其影响消除后协商继续履行或终止合同。</w:t>
      </w:r>
    </w:p>
    <w:p>
      <w:pPr>
        <w:adjustRightInd w:val="0"/>
        <w:spacing w:line="360" w:lineRule="auto"/>
        <w:ind w:firstLine="480" w:firstLineChars="200"/>
        <w:rPr>
          <w:rFonts w:eastAsiaTheme="minorEastAsia"/>
          <w:sz w:val="24"/>
        </w:rPr>
      </w:pPr>
      <w:r>
        <w:rPr>
          <w:rFonts w:eastAsiaTheme="minorEastAsia"/>
          <w:sz w:val="24"/>
        </w:rPr>
        <w:t>第十八条 争议解决</w:t>
      </w:r>
    </w:p>
    <w:p>
      <w:pPr>
        <w:adjustRightInd w:val="0"/>
        <w:spacing w:line="360" w:lineRule="auto"/>
        <w:ind w:firstLine="480" w:firstLineChars="200"/>
        <w:rPr>
          <w:rFonts w:eastAsiaTheme="minorEastAsia"/>
          <w:sz w:val="24"/>
        </w:rPr>
      </w:pPr>
      <w:r>
        <w:rPr>
          <w:rFonts w:eastAsiaTheme="minorEastAsia"/>
          <w:sz w:val="24"/>
        </w:rPr>
        <w:t>双方因履行本合同而发生争议的，应友好协商解决。协商不成的，任何一方有权诉讼至北京市海淀区有管辖权的人民法院。解决争议期间，除争议事项外，双方应继续履行本合同规定的其他各项条款。</w:t>
      </w:r>
    </w:p>
    <w:p>
      <w:pPr>
        <w:adjustRightInd w:val="0"/>
        <w:spacing w:line="360" w:lineRule="auto"/>
        <w:ind w:firstLine="480" w:firstLineChars="200"/>
        <w:rPr>
          <w:rFonts w:eastAsiaTheme="minorEastAsia"/>
          <w:sz w:val="24"/>
        </w:rPr>
      </w:pPr>
      <w:r>
        <w:rPr>
          <w:rFonts w:eastAsiaTheme="minorEastAsia"/>
          <w:sz w:val="24"/>
        </w:rPr>
        <w:t>诉讼过程中产生的诉讼费、律师费、保全费、保全担保费、公告费等所有费用均由败诉方承担。</w:t>
      </w:r>
    </w:p>
    <w:p>
      <w:pPr>
        <w:adjustRightInd w:val="0"/>
        <w:spacing w:line="360" w:lineRule="auto"/>
        <w:ind w:firstLine="480" w:firstLineChars="200"/>
        <w:rPr>
          <w:rFonts w:eastAsiaTheme="minorEastAsia"/>
          <w:sz w:val="24"/>
        </w:rPr>
      </w:pPr>
      <w:r>
        <w:rPr>
          <w:rFonts w:eastAsiaTheme="minorEastAsia"/>
          <w:sz w:val="24"/>
        </w:rPr>
        <w:t>第十九条 补充条款</w:t>
      </w:r>
    </w:p>
    <w:p>
      <w:pPr>
        <w:adjustRightInd w:val="0"/>
        <w:spacing w:line="360" w:lineRule="auto"/>
        <w:ind w:firstLine="482" w:firstLineChars="200"/>
        <w:rPr>
          <w:rFonts w:eastAsiaTheme="minorEastAsia"/>
          <w:b/>
          <w:bCs/>
          <w:sz w:val="24"/>
          <w:u w:val="single"/>
        </w:rPr>
      </w:pPr>
      <w:r>
        <w:rPr>
          <w:rFonts w:eastAsiaTheme="minorEastAsia"/>
          <w:b/>
          <w:bCs/>
          <w:sz w:val="24"/>
          <w:u w:val="single"/>
        </w:rPr>
        <w:t xml:space="preserve">                                                                           </w:t>
      </w:r>
    </w:p>
    <w:p>
      <w:pPr>
        <w:adjustRightInd w:val="0"/>
        <w:spacing w:line="360" w:lineRule="auto"/>
        <w:ind w:firstLine="482" w:firstLineChars="200"/>
        <w:rPr>
          <w:rFonts w:eastAsiaTheme="minorEastAsia"/>
          <w:b/>
          <w:bCs/>
          <w:sz w:val="24"/>
          <w:u w:val="single"/>
        </w:rPr>
      </w:pPr>
    </w:p>
    <w:p>
      <w:pPr>
        <w:adjustRightInd w:val="0"/>
        <w:spacing w:line="360" w:lineRule="auto"/>
        <w:ind w:firstLine="480" w:firstLineChars="200"/>
        <w:rPr>
          <w:rFonts w:eastAsiaTheme="minorEastAsia"/>
          <w:sz w:val="24"/>
        </w:rPr>
      </w:pPr>
      <w:r>
        <w:rPr>
          <w:rFonts w:eastAsiaTheme="minorEastAsia"/>
          <w:sz w:val="24"/>
        </w:rPr>
        <w:t>第二十条 合同生效与其他</w:t>
      </w:r>
    </w:p>
    <w:p>
      <w:pPr>
        <w:adjustRightInd w:val="0"/>
        <w:spacing w:line="360" w:lineRule="auto"/>
        <w:ind w:firstLine="480" w:firstLineChars="200"/>
        <w:rPr>
          <w:rFonts w:eastAsiaTheme="minorEastAsia"/>
          <w:sz w:val="24"/>
        </w:rPr>
      </w:pPr>
      <w:r>
        <w:rPr>
          <w:rFonts w:eastAsiaTheme="minorEastAsia"/>
          <w:sz w:val="24"/>
        </w:rPr>
        <w:t>20.1本合同的所有附件（如有）、采购文件、投标文件、中标通知书、供货要求、报价表、技术性能指标的详细描述、技术服务和质量保证期服务计划等均是合同不可分割的部分，并与合同正文具有同等法律效力。</w:t>
      </w:r>
    </w:p>
    <w:p>
      <w:pPr>
        <w:adjustRightInd w:val="0"/>
        <w:spacing w:line="360" w:lineRule="auto"/>
        <w:ind w:firstLine="480" w:firstLineChars="200"/>
        <w:rPr>
          <w:rFonts w:eastAsiaTheme="minorEastAsia"/>
          <w:sz w:val="24"/>
        </w:rPr>
      </w:pPr>
      <w:r>
        <w:rPr>
          <w:rFonts w:eastAsiaTheme="minorEastAsia"/>
          <w:sz w:val="24"/>
        </w:rPr>
        <w:t>20.2本合同经甲乙双方法定代表人或授权代表签字、加盖单位公章或合同专用章后生效。合同签订日期以双方中最后一方签署、加盖公章或合同专用章的日期为准。</w:t>
      </w:r>
    </w:p>
    <w:p>
      <w:pPr>
        <w:adjustRightInd w:val="0"/>
        <w:spacing w:line="360" w:lineRule="auto"/>
        <w:ind w:firstLine="480" w:firstLineChars="200"/>
        <w:rPr>
          <w:rFonts w:eastAsiaTheme="minorEastAsia"/>
          <w:sz w:val="24"/>
        </w:rPr>
      </w:pPr>
      <w:r>
        <w:rPr>
          <w:rFonts w:eastAsiaTheme="minorEastAsia"/>
          <w:sz w:val="24"/>
        </w:rPr>
        <w:t>20.3本合同一式</w:t>
      </w:r>
      <w:r>
        <w:rPr>
          <w:rFonts w:eastAsiaTheme="minorEastAsia"/>
          <w:sz w:val="24"/>
          <w:u w:val="single"/>
        </w:rPr>
        <w:t xml:space="preserve"> 6  </w:t>
      </w:r>
      <w:r>
        <w:rPr>
          <w:rFonts w:eastAsiaTheme="minorEastAsia"/>
          <w:sz w:val="24"/>
        </w:rPr>
        <w:t>份，甲方执</w:t>
      </w:r>
      <w:r>
        <w:rPr>
          <w:rFonts w:eastAsiaTheme="minorEastAsia"/>
          <w:sz w:val="24"/>
          <w:u w:val="single"/>
        </w:rPr>
        <w:t xml:space="preserve"> 3  </w:t>
      </w:r>
      <w:r>
        <w:rPr>
          <w:rFonts w:eastAsiaTheme="minorEastAsia"/>
          <w:sz w:val="24"/>
        </w:rPr>
        <w:t>份，乙方执</w:t>
      </w:r>
      <w:r>
        <w:rPr>
          <w:rFonts w:eastAsiaTheme="minorEastAsia"/>
          <w:sz w:val="24"/>
          <w:u w:val="single"/>
        </w:rPr>
        <w:t xml:space="preserve">  3 </w:t>
      </w:r>
      <w:r>
        <w:rPr>
          <w:rFonts w:eastAsiaTheme="minorEastAsia"/>
          <w:sz w:val="24"/>
        </w:rPr>
        <w:t>份。</w:t>
      </w:r>
    </w:p>
    <w:p>
      <w:pPr>
        <w:adjustRightInd w:val="0"/>
        <w:spacing w:line="360" w:lineRule="auto"/>
        <w:ind w:firstLine="480" w:firstLineChars="200"/>
        <w:rPr>
          <w:rFonts w:eastAsiaTheme="minorEastAsia"/>
          <w:sz w:val="24"/>
        </w:rPr>
      </w:pPr>
      <w:r>
        <w:rPr>
          <w:rFonts w:eastAsiaTheme="minorEastAsia"/>
          <w:sz w:val="24"/>
        </w:rPr>
        <w:t>20.4本合同有效期：</w:t>
      </w:r>
      <w:r>
        <w:rPr>
          <w:rFonts w:eastAsiaTheme="minorEastAsia"/>
          <w:sz w:val="24"/>
          <w:u w:val="single"/>
        </w:rPr>
        <w:t xml:space="preserve"> 2   </w:t>
      </w:r>
      <w:r>
        <w:rPr>
          <w:rFonts w:eastAsiaTheme="minorEastAsia"/>
          <w:sz w:val="24"/>
        </w:rPr>
        <w:t>年（应大于或者等于质保期限）。</w:t>
      </w:r>
    </w:p>
    <w:p>
      <w:pPr>
        <w:adjustRightInd w:val="0"/>
        <w:spacing w:line="360" w:lineRule="auto"/>
        <w:ind w:firstLine="482" w:firstLineChars="200"/>
        <w:rPr>
          <w:rFonts w:eastAsiaTheme="minorEastAsia"/>
          <w:b/>
          <w:bCs/>
          <w:sz w:val="24"/>
        </w:rPr>
      </w:pPr>
    </w:p>
    <w:p>
      <w:pPr>
        <w:adjustRightInd w:val="0"/>
        <w:spacing w:line="360" w:lineRule="auto"/>
        <w:ind w:firstLine="480" w:firstLineChars="200"/>
        <w:rPr>
          <w:rFonts w:eastAsiaTheme="minorEastAsia"/>
          <w:bCs/>
          <w:sz w:val="24"/>
        </w:rPr>
      </w:pPr>
      <w:r>
        <w:rPr>
          <w:rFonts w:eastAsiaTheme="minorEastAsia"/>
          <w:bCs/>
          <w:sz w:val="24"/>
        </w:rPr>
        <w:t>双方已充分理解并同意本合同项下全部条款、权利、义务以及风险，且不存在任何其他不明条款，故签订本合同。</w:t>
      </w:r>
    </w:p>
    <w:p>
      <w:pPr>
        <w:adjustRightInd w:val="0"/>
        <w:spacing w:line="360" w:lineRule="auto"/>
        <w:ind w:firstLine="480" w:firstLineChars="200"/>
        <w:rPr>
          <w:rFonts w:eastAsiaTheme="minorEastAsia"/>
          <w:bCs/>
          <w:sz w:val="24"/>
        </w:rPr>
      </w:pPr>
      <w:r>
        <w:rPr>
          <w:rFonts w:eastAsiaTheme="minorEastAsia"/>
          <w:bCs/>
          <w:sz w:val="24"/>
        </w:rPr>
        <w:t>以下无正文。</w:t>
      </w:r>
    </w:p>
    <w:p/>
    <w:p/>
    <w:p/>
    <w:p/>
    <w:p>
      <w:pPr>
        <w:snapToGrid w:val="0"/>
        <w:spacing w:line="440" w:lineRule="exact"/>
        <w:ind w:left="6000" w:hanging="6000" w:hangingChars="2500"/>
        <w:jc w:val="left"/>
        <w:rPr>
          <w:rFonts w:eastAsia="新宋体" w:cs="SSJ-PK74820000023-Identity-H"/>
          <w:kern w:val="0"/>
          <w:sz w:val="24"/>
        </w:rPr>
      </w:pPr>
      <w:r>
        <w:rPr>
          <w:rFonts w:hint="eastAsia" w:ascii="新宋体" w:hAnsi="宋体" w:eastAsia="新宋体"/>
          <w:color w:val="0F0F0F"/>
          <w:sz w:val="24"/>
        </w:rPr>
        <w:t>甲方（盖章）：清华大学                乙方（盖章）:</w:t>
      </w:r>
    </w:p>
    <w:p>
      <w:pPr>
        <w:snapToGrid w:val="0"/>
        <w:spacing w:line="440" w:lineRule="exact"/>
        <w:ind w:left="5985" w:leftChars="2850"/>
        <w:jc w:val="left"/>
        <w:rPr>
          <w:rFonts w:eastAsia="新宋体" w:cs="SSJ-PK74820000023-Identity-H"/>
          <w:kern w:val="0"/>
          <w:sz w:val="24"/>
        </w:rPr>
      </w:pPr>
    </w:p>
    <w:p>
      <w:pPr>
        <w:snapToGrid w:val="0"/>
        <w:spacing w:line="440" w:lineRule="exact"/>
        <w:ind w:left="5520" w:hanging="5520" w:hangingChars="2300"/>
        <w:jc w:val="left"/>
        <w:rPr>
          <w:rFonts w:cs="SSJ-PK74820000023-Identity-H" w:eastAsiaTheme="minorEastAsia"/>
          <w:kern w:val="0"/>
          <w:sz w:val="24"/>
        </w:rPr>
      </w:pPr>
    </w:p>
    <w:p>
      <w:pPr>
        <w:snapToGrid w:val="0"/>
        <w:spacing w:line="440" w:lineRule="exact"/>
        <w:rPr>
          <w:rFonts w:ascii="新宋体" w:hAnsi="宋体" w:eastAsia="新宋体"/>
          <w:color w:val="0F0F0F"/>
          <w:sz w:val="24"/>
        </w:rPr>
      </w:pPr>
      <w:r>
        <w:rPr>
          <w:rFonts w:hint="eastAsia" w:ascii="新宋体" w:hAnsi="宋体" w:eastAsia="新宋体"/>
          <w:color w:val="0F0F0F"/>
          <w:sz w:val="24"/>
        </w:rPr>
        <w:t>负责人或者授权代表：                 负责人或者授权代表：</w:t>
      </w:r>
    </w:p>
    <w:p>
      <w:pPr>
        <w:snapToGrid w:val="0"/>
        <w:spacing w:line="440" w:lineRule="exact"/>
        <w:rPr>
          <w:rFonts w:ascii="新宋体" w:hAnsi="宋体" w:eastAsia="新宋体"/>
          <w:color w:val="0F0F0F"/>
          <w:sz w:val="24"/>
        </w:rPr>
      </w:pPr>
    </w:p>
    <w:p>
      <w:pPr>
        <w:snapToGrid w:val="0"/>
        <w:spacing w:line="440" w:lineRule="exact"/>
      </w:pPr>
      <w:r>
        <w:rPr>
          <w:rFonts w:hint="eastAsia" w:ascii="新宋体" w:hAnsi="宋体" w:eastAsia="新宋体"/>
          <w:color w:val="0F0F0F"/>
          <w:sz w:val="24"/>
        </w:rPr>
        <w:t>日期：      年    月    日           日期：      年    月    日</w:t>
      </w:r>
    </w:p>
    <w:p/>
    <w:sectPr>
      <w:footerReference r:id="rId9"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TimesNewRomanPSMT">
    <w:altName w:val="微软雅黑"/>
    <w:panose1 w:val="00000000000000000000"/>
    <w:charset w:val="86"/>
    <w:family w:val="auto"/>
    <w:pitch w:val="default"/>
    <w:sig w:usb0="00000000" w:usb1="00000000" w:usb2="00000001" w:usb3="00000000" w:csb0="400001BF" w:csb1="DFF70000"/>
  </w:font>
  <w:font w:name="SSJ-PK74820000023-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4"/>
      </w:rPr>
    </w:pPr>
    <w:r>
      <w:fldChar w:fldCharType="begin"/>
    </w:r>
    <w:r>
      <w:rPr>
        <w:rStyle w:val="54"/>
      </w:rPr>
      <w:instrText xml:space="preserve">PAGE  </w:instrText>
    </w:r>
    <w:r>
      <w:fldChar w:fldCharType="separate"/>
    </w:r>
    <w:r>
      <w:rPr>
        <w:rStyle w:val="54"/>
      </w:rPr>
      <w:t>52</w: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21</w:t>
    </w:r>
    <w:r>
      <w:fldChar w:fldCharType="end"/>
    </w:r>
  </w:p>
  <w:p>
    <w:pPr>
      <w:pStyle w:val="28"/>
      <w:tabs>
        <w:tab w:val="clear" w:pos="8306"/>
      </w:tabs>
      <w:ind w:left="5385" w:leftChars="-1" w:right="-1" w:hanging="5387" w:hangingChars="2993"/>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241355"/>
      <w:docPartObj>
        <w:docPartGallery w:val="autotext"/>
      </w:docPartObj>
    </w:sdtPr>
    <w:sdtContent>
      <w:p>
        <w:pPr>
          <w:pStyle w:val="28"/>
          <w:jc w:val="center"/>
        </w:pPr>
        <w:r>
          <w:fldChar w:fldCharType="begin"/>
        </w:r>
        <w:r>
          <w:instrText xml:space="preserve">PAGE   \* MERGEFORMAT</w:instrText>
        </w:r>
        <w:r>
          <w:fldChar w:fldCharType="separate"/>
        </w:r>
        <w:r>
          <w:rPr>
            <w:lang w:val="zh-CN"/>
          </w:rPr>
          <w:t>28</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bCs/>
        <w:sz w:val="24"/>
        <w:szCs w:val="72"/>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30CC1"/>
    <w:multiLevelType w:val="singleLevel"/>
    <w:tmpl w:val="C5730CC1"/>
    <w:lvl w:ilvl="0" w:tentative="0">
      <w:start w:val="1"/>
      <w:numFmt w:val="decimal"/>
      <w:lvlText w:val="%1."/>
      <w:lvlJc w:val="left"/>
      <w:pPr>
        <w:tabs>
          <w:tab w:val="left" w:pos="312"/>
        </w:tabs>
      </w:pPr>
    </w:lvl>
  </w:abstractNum>
  <w:abstractNum w:abstractNumId="1">
    <w:nsid w:val="CB61986B"/>
    <w:multiLevelType w:val="singleLevel"/>
    <w:tmpl w:val="CB61986B"/>
    <w:lvl w:ilvl="0" w:tentative="0">
      <w:start w:val="8"/>
      <w:numFmt w:val="decimal"/>
      <w:suff w:val="space"/>
      <w:lvlText w:val="%1."/>
      <w:lvlJc w:val="left"/>
    </w:lvl>
  </w:abstractNum>
  <w:abstractNum w:abstractNumId="2">
    <w:nsid w:val="00000006"/>
    <w:multiLevelType w:val="singleLevel"/>
    <w:tmpl w:val="00000006"/>
    <w:lvl w:ilvl="0" w:tentative="0">
      <w:start w:val="1"/>
      <w:numFmt w:val="chineseCountingThousand"/>
      <w:lvlText w:val="%1、"/>
      <w:lvlJc w:val="left"/>
      <w:pPr>
        <w:ind w:left="846" w:hanging="420"/>
      </w:pPr>
      <w:rPr>
        <w:rFonts w:hint="eastAsia"/>
      </w:rPr>
    </w:lvl>
  </w:abstractNum>
  <w:abstractNum w:abstractNumId="3">
    <w:nsid w:val="00000007"/>
    <w:multiLevelType w:val="multilevel"/>
    <w:tmpl w:val="00000007"/>
    <w:lvl w:ilvl="0" w:tentative="0">
      <w:start w:val="9"/>
      <w:numFmt w:val="decimal"/>
      <w:lvlText w:val="%1"/>
      <w:lvlJc w:val="left"/>
      <w:pPr>
        <w:tabs>
          <w:tab w:val="left" w:pos="420"/>
        </w:tabs>
        <w:ind w:left="420" w:hanging="420"/>
      </w:pPr>
      <w:rPr>
        <w:rFonts w:hint="default"/>
      </w:rPr>
    </w:lvl>
    <w:lvl w:ilvl="1" w:tentative="0">
      <w:start w:val="1"/>
      <w:numFmt w:val="decimal"/>
      <w:pStyle w:val="44"/>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4">
    <w:nsid w:val="00000008"/>
    <w:multiLevelType w:val="multilevel"/>
    <w:tmpl w:val="00000008"/>
    <w:lvl w:ilvl="0" w:tentative="0">
      <w:start w:val="1"/>
      <w:numFmt w:val="chineseCountingThousand"/>
      <w:pStyle w:val="2"/>
      <w:suff w:val="nothing"/>
      <w:lvlText w:val="%1、"/>
      <w:lvlJc w:val="left"/>
      <w:pPr>
        <w:ind w:left="284" w:firstLine="0"/>
      </w:pPr>
      <w:rPr>
        <w:b/>
        <w:i w:val="0"/>
        <w:sz w:val="28"/>
        <w:szCs w:val="28"/>
      </w:rPr>
    </w:lvl>
    <w:lvl w:ilvl="1" w:tentative="0">
      <w:start w:val="1"/>
      <w:numFmt w:val="decimal"/>
      <w:suff w:val="nothing"/>
      <w:lvlText w:val="%2. "/>
      <w:lvlJc w:val="left"/>
      <w:pPr>
        <w:ind w:left="38" w:firstLine="0"/>
      </w:pPr>
      <w:rPr>
        <w:b w:val="0"/>
        <w:i w:val="0"/>
        <w:sz w:val="24"/>
      </w:rPr>
    </w:lvl>
    <w:lvl w:ilvl="2" w:tentative="0">
      <w:start w:val="1"/>
      <w:numFmt w:val="none"/>
      <w:suff w:val="nothing"/>
      <w:lvlText w:val=""/>
      <w:lvlJc w:val="left"/>
      <w:pPr>
        <w:ind w:left="38" w:firstLine="0"/>
      </w:pPr>
    </w:lvl>
    <w:lvl w:ilvl="3" w:tentative="0">
      <w:start w:val="1"/>
      <w:numFmt w:val="none"/>
      <w:suff w:val="nothing"/>
      <w:lvlText w:val=""/>
      <w:lvlJc w:val="left"/>
      <w:pPr>
        <w:ind w:left="38" w:firstLine="0"/>
      </w:pPr>
    </w:lvl>
    <w:lvl w:ilvl="4" w:tentative="0">
      <w:start w:val="1"/>
      <w:numFmt w:val="none"/>
      <w:pStyle w:val="6"/>
      <w:suff w:val="nothing"/>
      <w:lvlText w:val=""/>
      <w:lvlJc w:val="left"/>
      <w:pPr>
        <w:ind w:left="38" w:firstLine="0"/>
      </w:pPr>
    </w:lvl>
    <w:lvl w:ilvl="5" w:tentative="0">
      <w:start w:val="1"/>
      <w:numFmt w:val="none"/>
      <w:suff w:val="nothing"/>
      <w:lvlText w:val=""/>
      <w:lvlJc w:val="left"/>
      <w:pPr>
        <w:ind w:left="38" w:firstLine="0"/>
      </w:pPr>
    </w:lvl>
    <w:lvl w:ilvl="6" w:tentative="0">
      <w:start w:val="1"/>
      <w:numFmt w:val="none"/>
      <w:suff w:val="nothing"/>
      <w:lvlText w:val=""/>
      <w:lvlJc w:val="left"/>
      <w:pPr>
        <w:ind w:left="38" w:firstLine="0"/>
      </w:pPr>
    </w:lvl>
    <w:lvl w:ilvl="7" w:tentative="0">
      <w:start w:val="1"/>
      <w:numFmt w:val="none"/>
      <w:suff w:val="nothing"/>
      <w:lvlText w:val=""/>
      <w:lvlJc w:val="left"/>
      <w:pPr>
        <w:ind w:left="38" w:firstLine="0"/>
      </w:pPr>
    </w:lvl>
    <w:lvl w:ilvl="8" w:tentative="0">
      <w:start w:val="1"/>
      <w:numFmt w:val="none"/>
      <w:suff w:val="nothing"/>
      <w:lvlText w:val=""/>
      <w:lvlJc w:val="left"/>
      <w:pPr>
        <w:ind w:left="38" w:firstLine="0"/>
      </w:pPr>
    </w:lvl>
  </w:abstractNum>
  <w:abstractNum w:abstractNumId="5">
    <w:nsid w:val="00000009"/>
    <w:multiLevelType w:val="multilevel"/>
    <w:tmpl w:val="00000009"/>
    <w:lvl w:ilvl="0" w:tentative="0">
      <w:start w:val="1"/>
      <w:numFmt w:val="decimal"/>
      <w:lvlText w:val="%1)"/>
      <w:lvlJc w:val="left"/>
      <w:pPr>
        <w:tabs>
          <w:tab w:val="left" w:pos="840"/>
        </w:tabs>
        <w:ind w:left="840" w:hanging="420"/>
      </w:pPr>
      <w:rPr>
        <w:rFonts w:hint="default"/>
      </w:rPr>
    </w:lvl>
    <w:lvl w:ilvl="1" w:tentative="0">
      <w:start w:val="1"/>
      <w:numFmt w:val="decimal"/>
      <w:lvlText w:val="%2."/>
      <w:lvlJc w:val="left"/>
      <w:pPr>
        <w:tabs>
          <w:tab w:val="left" w:pos="1440"/>
        </w:tabs>
        <w:ind w:left="1440" w:hanging="360"/>
      </w:pPr>
    </w:lvl>
    <w:lvl w:ilvl="2" w:tentative="0">
      <w:start w:val="1"/>
      <w:numFmt w:val="decimal"/>
      <w:pStyle w:val="298"/>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0A"/>
    <w:multiLevelType w:val="multilevel"/>
    <w:tmpl w:val="0000000A"/>
    <w:lvl w:ilvl="0" w:tentative="0">
      <w:start w:val="1"/>
      <w:numFmt w:val="decimal"/>
      <w:lvlText w:val="%1."/>
      <w:lvlJc w:val="left"/>
      <w:pPr>
        <w:tabs>
          <w:tab w:val="left" w:pos="567"/>
        </w:tabs>
        <w:ind w:left="567" w:hanging="567"/>
      </w:pPr>
      <w:rPr>
        <w:rFonts w:hint="eastAsia"/>
      </w:rPr>
    </w:lvl>
    <w:lvl w:ilvl="1" w:tentative="0">
      <w:start w:val="1"/>
      <w:numFmt w:val="decimal"/>
      <w:lvlText w:val="%2."/>
      <w:lvlJc w:val="left"/>
      <w:pPr>
        <w:tabs>
          <w:tab w:val="left" w:pos="567"/>
        </w:tabs>
        <w:ind w:left="567" w:hanging="567"/>
      </w:pPr>
      <w:rPr>
        <w:rFonts w:hint="eastAsia"/>
      </w:rPr>
    </w:lvl>
    <w:lvl w:ilvl="2" w:tentative="0">
      <w:start w:val="1"/>
      <w:numFmt w:val="decimal"/>
      <w:pStyle w:val="72"/>
      <w:lvlText w:val="（%3）"/>
      <w:lvlJc w:val="left"/>
      <w:pPr>
        <w:tabs>
          <w:tab w:val="left" w:pos="1134"/>
        </w:tabs>
        <w:ind w:left="1134" w:hanging="567"/>
      </w:pPr>
      <w:rPr>
        <w:rFonts w:ascii="Times New Roman" w:hAnsi="Times New Roman" w:eastAsia="宋体" w:cs="Times New Roman"/>
        <w:lang w:val="en-US"/>
      </w:rPr>
    </w:lvl>
    <w:lvl w:ilvl="3" w:tentative="0">
      <w:start w:val="1"/>
      <w:numFmt w:val="decimal"/>
      <w:lvlText w:val="%4、"/>
      <w:lvlJc w:val="left"/>
      <w:pPr>
        <w:tabs>
          <w:tab w:val="left" w:pos="1980"/>
        </w:tabs>
        <w:ind w:left="1980" w:hanging="720"/>
      </w:pPr>
      <w:rPr>
        <w:rFonts w:hint="eastAsia"/>
        <w:b/>
        <w:sz w:val="24"/>
        <w:szCs w:val="24"/>
      </w:rPr>
    </w:lvl>
    <w:lvl w:ilvl="4" w:tentative="0">
      <w:start w:val="3"/>
      <w:numFmt w:val="japaneseCounting"/>
      <w:lvlText w:val="第%5章"/>
      <w:lvlJc w:val="left"/>
      <w:pPr>
        <w:tabs>
          <w:tab w:val="left" w:pos="2805"/>
        </w:tabs>
        <w:ind w:left="2805" w:hanging="1125"/>
      </w:pPr>
      <w:rPr>
        <w:rFonts w:hint="default"/>
      </w:rPr>
    </w:lvl>
    <w:lvl w:ilvl="5" w:tentative="0">
      <w:start w:val="1"/>
      <w:numFmt w:val="decimal"/>
      <w:lvlText w:val="%6）"/>
      <w:lvlJc w:val="left"/>
      <w:pPr>
        <w:tabs>
          <w:tab w:val="left" w:pos="2460"/>
        </w:tabs>
        <w:ind w:left="2460" w:hanging="360"/>
      </w:pPr>
      <w:rPr>
        <w:rFonts w:hint="default"/>
      </w:rPr>
    </w:lvl>
    <w:lvl w:ilvl="6" w:tentative="0">
      <w:start w:val="4"/>
      <w:numFmt w:val="japaneseCounting"/>
      <w:lvlText w:val="%7、"/>
      <w:lvlJc w:val="left"/>
      <w:pPr>
        <w:ind w:left="3000" w:hanging="48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B"/>
    <w:multiLevelType w:val="multilevel"/>
    <w:tmpl w:val="0000000B"/>
    <w:lvl w:ilvl="0" w:tentative="0">
      <w:start w:val="9"/>
      <w:numFmt w:val="decimal"/>
      <w:pStyle w:val="157"/>
      <w:lvlText w:val="%1."/>
      <w:lvlJc w:val="left"/>
      <w:pPr>
        <w:tabs>
          <w:tab w:val="left" w:pos="3240"/>
        </w:tabs>
        <w:ind w:left="3240" w:hanging="360"/>
      </w:pPr>
      <w:rPr>
        <w:rFonts w:hint="default"/>
      </w:rPr>
    </w:lvl>
    <w:lvl w:ilvl="1" w:tentative="0">
      <w:start w:val="1"/>
      <w:numFmt w:val="bullet"/>
      <w:pStyle w:val="268"/>
      <w:lvlText w:val="o"/>
      <w:lvlJc w:val="left"/>
      <w:pPr>
        <w:tabs>
          <w:tab w:val="left" w:pos="3960"/>
        </w:tabs>
        <w:ind w:left="3960" w:hanging="360"/>
      </w:pPr>
      <w:rPr>
        <w:rFonts w:hint="default" w:ascii="Courier New" w:hAnsi="Courier New"/>
      </w:rPr>
    </w:lvl>
    <w:lvl w:ilvl="2" w:tentative="0">
      <w:start w:val="1"/>
      <w:numFmt w:val="bullet"/>
      <w:pStyle w:val="271"/>
      <w:lvlText w:val=""/>
      <w:lvlJc w:val="left"/>
      <w:pPr>
        <w:tabs>
          <w:tab w:val="left" w:pos="4680"/>
        </w:tabs>
        <w:ind w:left="4680" w:hanging="360"/>
      </w:pPr>
      <w:rPr>
        <w:rFonts w:hint="default" w:ascii="Wingdings" w:hAnsi="Wingdings"/>
      </w:rPr>
    </w:lvl>
    <w:lvl w:ilvl="3" w:tentative="0">
      <w:start w:val="1"/>
      <w:numFmt w:val="bullet"/>
      <w:lvlText w:val=""/>
      <w:lvlJc w:val="left"/>
      <w:pPr>
        <w:tabs>
          <w:tab w:val="left" w:pos="5400"/>
        </w:tabs>
        <w:ind w:left="5400" w:hanging="360"/>
      </w:pPr>
      <w:rPr>
        <w:rFonts w:hint="default" w:ascii="Symbol" w:hAnsi="Symbol"/>
      </w:rPr>
    </w:lvl>
    <w:lvl w:ilvl="4" w:tentative="0">
      <w:start w:val="1"/>
      <w:numFmt w:val="bullet"/>
      <w:lvlText w:val="o"/>
      <w:lvlJc w:val="left"/>
      <w:pPr>
        <w:tabs>
          <w:tab w:val="left" w:pos="6120"/>
        </w:tabs>
        <w:ind w:left="6120" w:hanging="360"/>
      </w:pPr>
      <w:rPr>
        <w:rFonts w:hint="default" w:ascii="Courier New" w:hAnsi="Courier New"/>
      </w:rPr>
    </w:lvl>
    <w:lvl w:ilvl="5" w:tentative="0">
      <w:start w:val="1"/>
      <w:numFmt w:val="bullet"/>
      <w:lvlText w:val=""/>
      <w:lvlJc w:val="left"/>
      <w:pPr>
        <w:tabs>
          <w:tab w:val="left" w:pos="6840"/>
        </w:tabs>
        <w:ind w:left="6840" w:hanging="360"/>
      </w:pPr>
      <w:rPr>
        <w:rFonts w:hint="default" w:ascii="Wingdings" w:hAnsi="Wingdings"/>
      </w:rPr>
    </w:lvl>
    <w:lvl w:ilvl="6" w:tentative="0">
      <w:start w:val="1"/>
      <w:numFmt w:val="bullet"/>
      <w:lvlText w:val=""/>
      <w:lvlJc w:val="left"/>
      <w:pPr>
        <w:tabs>
          <w:tab w:val="left" w:pos="7560"/>
        </w:tabs>
        <w:ind w:left="7560" w:hanging="360"/>
      </w:pPr>
      <w:rPr>
        <w:rFonts w:hint="default" w:ascii="Symbol" w:hAnsi="Symbol"/>
      </w:rPr>
    </w:lvl>
    <w:lvl w:ilvl="7" w:tentative="0">
      <w:start w:val="1"/>
      <w:numFmt w:val="bullet"/>
      <w:lvlText w:val="o"/>
      <w:lvlJc w:val="left"/>
      <w:pPr>
        <w:tabs>
          <w:tab w:val="left" w:pos="8280"/>
        </w:tabs>
        <w:ind w:left="8280" w:hanging="360"/>
      </w:pPr>
      <w:rPr>
        <w:rFonts w:hint="default" w:ascii="Courier New" w:hAnsi="Courier New"/>
      </w:rPr>
    </w:lvl>
    <w:lvl w:ilvl="8" w:tentative="0">
      <w:start w:val="1"/>
      <w:numFmt w:val="bullet"/>
      <w:lvlText w:val=""/>
      <w:lvlJc w:val="left"/>
      <w:pPr>
        <w:tabs>
          <w:tab w:val="left" w:pos="9000"/>
        </w:tabs>
        <w:ind w:left="9000" w:hanging="360"/>
      </w:pPr>
      <w:rPr>
        <w:rFonts w:hint="default" w:ascii="Wingdings" w:hAnsi="Wingdings"/>
      </w:rPr>
    </w:lvl>
  </w:abstractNum>
  <w:abstractNum w:abstractNumId="8">
    <w:nsid w:val="0000000C"/>
    <w:multiLevelType w:val="multilevel"/>
    <w:tmpl w:val="0000000C"/>
    <w:lvl w:ilvl="0" w:tentative="0">
      <w:start w:val="0"/>
      <w:numFmt w:val="none"/>
      <w:lvlText w:val=""/>
      <w:lvlJc w:val="left"/>
      <w:pPr>
        <w:tabs>
          <w:tab w:val="left" w:pos="360"/>
        </w:tabs>
      </w:pPr>
    </w:lvl>
    <w:lvl w:ilvl="1" w:tentative="0">
      <w:start w:val="1"/>
      <w:numFmt w:val="decimal"/>
      <w:pStyle w:val="132"/>
      <w:suff w:val="nothing"/>
      <w:lvlText w:val="%1%2　"/>
      <w:lvlJc w:val="left"/>
      <w:pPr>
        <w:ind w:left="0" w:firstLine="0"/>
      </w:pPr>
      <w:rPr>
        <w:rFonts w:hint="default" w:ascii="Times New Roman" w:hAnsi="Times New Roman" w:eastAsia="黑体"/>
        <w:b w:val="0"/>
        <w:i w:val="0"/>
        <w:sz w:val="24"/>
      </w:rPr>
    </w:lvl>
    <w:lvl w:ilvl="2" w:tentative="0">
      <w:start w:val="1"/>
      <w:numFmt w:val="decimal"/>
      <w:pStyle w:val="133"/>
      <w:suff w:val="nothing"/>
      <w:lvlText w:val="%1%2.%3　"/>
      <w:lvlJc w:val="left"/>
      <w:pPr>
        <w:ind w:left="0" w:firstLine="0"/>
      </w:pPr>
      <w:rPr>
        <w:rFonts w:hint="default" w:ascii="Times New Roman" w:hAnsi="Times New Roman" w:eastAsia="黑体"/>
        <w:b w:val="0"/>
        <w:i w:val="0"/>
        <w:sz w:val="24"/>
      </w:rPr>
    </w:lvl>
    <w:lvl w:ilvl="3" w:tentative="0">
      <w:start w:val="1"/>
      <w:numFmt w:val="decimal"/>
      <w:pStyle w:val="134"/>
      <w:suff w:val="nothing"/>
      <w:lvlText w:val="%1%2.%3.%4　"/>
      <w:lvlJc w:val="left"/>
      <w:pPr>
        <w:ind w:left="900" w:firstLine="0"/>
      </w:pPr>
      <w:rPr>
        <w:rFonts w:hint="default" w:ascii="Times New Roman" w:hAnsi="Times New Roman" w:eastAsia="黑体"/>
        <w:b w:val="0"/>
        <w:i w:val="0"/>
        <w:sz w:val="24"/>
      </w:rPr>
    </w:lvl>
    <w:lvl w:ilvl="4" w:tentative="0">
      <w:start w:val="1"/>
      <w:numFmt w:val="decimal"/>
      <w:suff w:val="nothing"/>
      <w:lvlText w:val="%1%2.%3.%4.%5　"/>
      <w:lvlJc w:val="left"/>
      <w:pPr>
        <w:ind w:left="660" w:firstLine="0"/>
      </w:pPr>
      <w:rPr>
        <w:rFonts w:hint="default" w:ascii="Times New Roman" w:hAnsi="Times New Roman" w:eastAsia="黑体"/>
        <w:b w:val="0"/>
        <w:i w:val="0"/>
        <w:sz w:val="24"/>
      </w:rPr>
    </w:lvl>
    <w:lvl w:ilvl="5" w:tentative="0">
      <w:start w:val="1"/>
      <w:numFmt w:val="decimal"/>
      <w:suff w:val="nothing"/>
      <w:lvlText w:val="%1%2.%3.%4.%5.%6　"/>
      <w:lvlJc w:val="left"/>
      <w:pPr>
        <w:ind w:left="0" w:firstLine="0"/>
      </w:pPr>
      <w:rPr>
        <w:rFonts w:hint="default" w:ascii="Times New Roman" w:hAnsi="Times New Roman" w:eastAsia="黑体"/>
        <w:b w:val="0"/>
        <w:i w:val="0"/>
        <w:sz w:val="24"/>
      </w:rPr>
    </w:lvl>
    <w:lvl w:ilvl="6" w:tentative="0">
      <w:start w:val="1"/>
      <w:numFmt w:val="decimal"/>
      <w:suff w:val="nothing"/>
      <w:lvlText w:val="%1%2.%3.%4.%5.%6.%7　"/>
      <w:lvlJc w:val="left"/>
      <w:pPr>
        <w:ind w:left="0" w:firstLine="0"/>
      </w:pPr>
      <w:rPr>
        <w:rFonts w:hint="default" w:ascii="Times New Roman" w:hAnsi="Times New Roman" w:eastAsia="黑体"/>
        <w:b w:val="0"/>
        <w:i w:val="0"/>
        <w:sz w:val="24"/>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0D"/>
    <w:multiLevelType w:val="singleLevel"/>
    <w:tmpl w:val="0000000D"/>
    <w:lvl w:ilvl="0" w:tentative="0">
      <w:start w:val="1"/>
      <w:numFmt w:val="decimal"/>
      <w:lvlText w:val="%1．"/>
      <w:lvlJc w:val="left"/>
      <w:pPr>
        <w:tabs>
          <w:tab w:val="left" w:pos="735"/>
        </w:tabs>
        <w:ind w:left="735" w:hanging="315"/>
      </w:pPr>
    </w:lvl>
  </w:abstractNum>
  <w:abstractNum w:abstractNumId="10">
    <w:nsid w:val="0000000E"/>
    <w:multiLevelType w:val="multilevel"/>
    <w:tmpl w:val="0000000E"/>
    <w:lvl w:ilvl="0" w:tentative="0">
      <w:start w:val="1"/>
      <w:numFmt w:val="bullet"/>
      <w:pStyle w:val="266"/>
      <w:lvlText w:val=""/>
      <w:lvlJc w:val="left"/>
      <w:pPr>
        <w:tabs>
          <w:tab w:val="left" w:pos="576"/>
        </w:tabs>
        <w:ind w:left="576" w:hanging="288"/>
      </w:pPr>
      <w:rPr>
        <w:rFonts w:hint="default" w:ascii="Symbol" w:hAnsi="Symbol"/>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3"/>
  </w:num>
  <w:num w:numId="3">
    <w:abstractNumId w:val="6"/>
  </w:num>
  <w:num w:numId="4">
    <w:abstractNumId w:val="8"/>
  </w:num>
  <w:num w:numId="5">
    <w:abstractNumId w:val="7"/>
  </w:num>
  <w:num w:numId="6">
    <w:abstractNumId w:val="10"/>
  </w:num>
  <w:num w:numId="7">
    <w:abstractNumId w:val="5"/>
  </w:num>
  <w:num w:numId="8">
    <w:abstractNumId w:val="1"/>
  </w:num>
  <w:num w:numId="9">
    <w:abstractNumId w:val="0"/>
  </w:num>
  <w:num w:numId="10">
    <w:abstractNumId w:val="2"/>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YmY4ODM1ZDZiOTRmNzM2NWU2ZWExZTY3YTcxMjEifQ=="/>
  </w:docVars>
  <w:rsids>
    <w:rsidRoot w:val="00172A27"/>
    <w:rsid w:val="00000ECB"/>
    <w:rsid w:val="000012D8"/>
    <w:rsid w:val="00002F74"/>
    <w:rsid w:val="000049BB"/>
    <w:rsid w:val="00005898"/>
    <w:rsid w:val="00006AF1"/>
    <w:rsid w:val="000074D7"/>
    <w:rsid w:val="0000761E"/>
    <w:rsid w:val="00010341"/>
    <w:rsid w:val="000104B1"/>
    <w:rsid w:val="0001079A"/>
    <w:rsid w:val="00011EF1"/>
    <w:rsid w:val="00012E4E"/>
    <w:rsid w:val="00013691"/>
    <w:rsid w:val="00013882"/>
    <w:rsid w:val="00013DDE"/>
    <w:rsid w:val="00014A02"/>
    <w:rsid w:val="00014D00"/>
    <w:rsid w:val="000166F7"/>
    <w:rsid w:val="000168A6"/>
    <w:rsid w:val="000175A8"/>
    <w:rsid w:val="0001777E"/>
    <w:rsid w:val="00020065"/>
    <w:rsid w:val="0002022F"/>
    <w:rsid w:val="00020568"/>
    <w:rsid w:val="00020960"/>
    <w:rsid w:val="000228FD"/>
    <w:rsid w:val="00022A03"/>
    <w:rsid w:val="00022E16"/>
    <w:rsid w:val="00023541"/>
    <w:rsid w:val="0002464E"/>
    <w:rsid w:val="00024A48"/>
    <w:rsid w:val="00024EEE"/>
    <w:rsid w:val="0002638E"/>
    <w:rsid w:val="000267CC"/>
    <w:rsid w:val="00027F49"/>
    <w:rsid w:val="00030E55"/>
    <w:rsid w:val="000313B4"/>
    <w:rsid w:val="000324CC"/>
    <w:rsid w:val="00032A35"/>
    <w:rsid w:val="00032B50"/>
    <w:rsid w:val="00032B6C"/>
    <w:rsid w:val="00033529"/>
    <w:rsid w:val="000335B1"/>
    <w:rsid w:val="000344C5"/>
    <w:rsid w:val="00034705"/>
    <w:rsid w:val="00036913"/>
    <w:rsid w:val="000374CC"/>
    <w:rsid w:val="00037F01"/>
    <w:rsid w:val="00037F0E"/>
    <w:rsid w:val="0004008E"/>
    <w:rsid w:val="00040201"/>
    <w:rsid w:val="00042942"/>
    <w:rsid w:val="00042A88"/>
    <w:rsid w:val="00043470"/>
    <w:rsid w:val="00043E02"/>
    <w:rsid w:val="00043F0E"/>
    <w:rsid w:val="000447E9"/>
    <w:rsid w:val="00044902"/>
    <w:rsid w:val="00045D4F"/>
    <w:rsid w:val="0004757B"/>
    <w:rsid w:val="00047CEC"/>
    <w:rsid w:val="00051011"/>
    <w:rsid w:val="0005106C"/>
    <w:rsid w:val="0005116C"/>
    <w:rsid w:val="000511DC"/>
    <w:rsid w:val="00051A56"/>
    <w:rsid w:val="00051C0A"/>
    <w:rsid w:val="00051D3E"/>
    <w:rsid w:val="000523D7"/>
    <w:rsid w:val="00053E0A"/>
    <w:rsid w:val="000544E6"/>
    <w:rsid w:val="00054769"/>
    <w:rsid w:val="00055253"/>
    <w:rsid w:val="000567BF"/>
    <w:rsid w:val="00056DAF"/>
    <w:rsid w:val="00057604"/>
    <w:rsid w:val="0005791B"/>
    <w:rsid w:val="000601F3"/>
    <w:rsid w:val="0006112C"/>
    <w:rsid w:val="0006146D"/>
    <w:rsid w:val="0006153D"/>
    <w:rsid w:val="00061FB3"/>
    <w:rsid w:val="00063CA4"/>
    <w:rsid w:val="00063ED4"/>
    <w:rsid w:val="00064678"/>
    <w:rsid w:val="00064963"/>
    <w:rsid w:val="000652F5"/>
    <w:rsid w:val="0006565F"/>
    <w:rsid w:val="00065AFA"/>
    <w:rsid w:val="00066B09"/>
    <w:rsid w:val="000674F7"/>
    <w:rsid w:val="000705B8"/>
    <w:rsid w:val="00070D07"/>
    <w:rsid w:val="00070EB1"/>
    <w:rsid w:val="00070F4D"/>
    <w:rsid w:val="0007111E"/>
    <w:rsid w:val="0007132C"/>
    <w:rsid w:val="00071687"/>
    <w:rsid w:val="00071E0F"/>
    <w:rsid w:val="00072438"/>
    <w:rsid w:val="00074AEB"/>
    <w:rsid w:val="00074C09"/>
    <w:rsid w:val="000750B7"/>
    <w:rsid w:val="0007684E"/>
    <w:rsid w:val="00076A22"/>
    <w:rsid w:val="00076A67"/>
    <w:rsid w:val="00077278"/>
    <w:rsid w:val="00077AE1"/>
    <w:rsid w:val="00077F87"/>
    <w:rsid w:val="00077F88"/>
    <w:rsid w:val="0008343D"/>
    <w:rsid w:val="00083D82"/>
    <w:rsid w:val="000854EF"/>
    <w:rsid w:val="00086E0B"/>
    <w:rsid w:val="000900C6"/>
    <w:rsid w:val="00090256"/>
    <w:rsid w:val="00090C4F"/>
    <w:rsid w:val="00090FAB"/>
    <w:rsid w:val="00091294"/>
    <w:rsid w:val="00091DEA"/>
    <w:rsid w:val="00092253"/>
    <w:rsid w:val="00092AA4"/>
    <w:rsid w:val="00093C5D"/>
    <w:rsid w:val="00093D3F"/>
    <w:rsid w:val="00095553"/>
    <w:rsid w:val="00095960"/>
    <w:rsid w:val="0009669C"/>
    <w:rsid w:val="00096CFD"/>
    <w:rsid w:val="00097CE9"/>
    <w:rsid w:val="000A110A"/>
    <w:rsid w:val="000A1345"/>
    <w:rsid w:val="000A15AE"/>
    <w:rsid w:val="000A24D1"/>
    <w:rsid w:val="000A3584"/>
    <w:rsid w:val="000A4CDB"/>
    <w:rsid w:val="000A52A4"/>
    <w:rsid w:val="000A6AA8"/>
    <w:rsid w:val="000A7021"/>
    <w:rsid w:val="000A7710"/>
    <w:rsid w:val="000A7BBA"/>
    <w:rsid w:val="000B01C7"/>
    <w:rsid w:val="000B07AA"/>
    <w:rsid w:val="000B2766"/>
    <w:rsid w:val="000B3971"/>
    <w:rsid w:val="000B3B16"/>
    <w:rsid w:val="000B4EC2"/>
    <w:rsid w:val="000B572B"/>
    <w:rsid w:val="000B57DC"/>
    <w:rsid w:val="000B5834"/>
    <w:rsid w:val="000B5EA7"/>
    <w:rsid w:val="000B5FE4"/>
    <w:rsid w:val="000B7555"/>
    <w:rsid w:val="000C02B9"/>
    <w:rsid w:val="000C09E7"/>
    <w:rsid w:val="000C0D0D"/>
    <w:rsid w:val="000C1EFB"/>
    <w:rsid w:val="000C28B5"/>
    <w:rsid w:val="000C2B96"/>
    <w:rsid w:val="000C2BE6"/>
    <w:rsid w:val="000C2EB8"/>
    <w:rsid w:val="000C3CBE"/>
    <w:rsid w:val="000C45F5"/>
    <w:rsid w:val="000C49D4"/>
    <w:rsid w:val="000C5205"/>
    <w:rsid w:val="000C5268"/>
    <w:rsid w:val="000C5CE7"/>
    <w:rsid w:val="000C5F5F"/>
    <w:rsid w:val="000C608C"/>
    <w:rsid w:val="000C6360"/>
    <w:rsid w:val="000C7CF0"/>
    <w:rsid w:val="000D1CD8"/>
    <w:rsid w:val="000D2414"/>
    <w:rsid w:val="000D26F7"/>
    <w:rsid w:val="000D4984"/>
    <w:rsid w:val="000D5E39"/>
    <w:rsid w:val="000D6E5B"/>
    <w:rsid w:val="000D7AA1"/>
    <w:rsid w:val="000E0027"/>
    <w:rsid w:val="000E067A"/>
    <w:rsid w:val="000E06D2"/>
    <w:rsid w:val="000E20F2"/>
    <w:rsid w:val="000E2B90"/>
    <w:rsid w:val="000E390F"/>
    <w:rsid w:val="000E4030"/>
    <w:rsid w:val="000E419B"/>
    <w:rsid w:val="000E5526"/>
    <w:rsid w:val="000E58A1"/>
    <w:rsid w:val="000E592D"/>
    <w:rsid w:val="000E5A93"/>
    <w:rsid w:val="000E6DB1"/>
    <w:rsid w:val="000F027D"/>
    <w:rsid w:val="000F03F2"/>
    <w:rsid w:val="000F08D5"/>
    <w:rsid w:val="000F225F"/>
    <w:rsid w:val="000F2569"/>
    <w:rsid w:val="000F27D3"/>
    <w:rsid w:val="000F3500"/>
    <w:rsid w:val="000F373A"/>
    <w:rsid w:val="000F3982"/>
    <w:rsid w:val="000F424E"/>
    <w:rsid w:val="000F54A1"/>
    <w:rsid w:val="000F54EA"/>
    <w:rsid w:val="000F5FAF"/>
    <w:rsid w:val="000F73DB"/>
    <w:rsid w:val="000F75BD"/>
    <w:rsid w:val="000F7615"/>
    <w:rsid w:val="000F7802"/>
    <w:rsid w:val="0010167E"/>
    <w:rsid w:val="001017BC"/>
    <w:rsid w:val="00103887"/>
    <w:rsid w:val="00103EE5"/>
    <w:rsid w:val="00105378"/>
    <w:rsid w:val="0010670F"/>
    <w:rsid w:val="00106ED7"/>
    <w:rsid w:val="0010734A"/>
    <w:rsid w:val="00107DE2"/>
    <w:rsid w:val="0011012D"/>
    <w:rsid w:val="00110F42"/>
    <w:rsid w:val="00113922"/>
    <w:rsid w:val="00113958"/>
    <w:rsid w:val="001139F5"/>
    <w:rsid w:val="00113FAB"/>
    <w:rsid w:val="00114220"/>
    <w:rsid w:val="00114F24"/>
    <w:rsid w:val="00115118"/>
    <w:rsid w:val="00116106"/>
    <w:rsid w:val="001174F3"/>
    <w:rsid w:val="00117868"/>
    <w:rsid w:val="00117F4E"/>
    <w:rsid w:val="001204F1"/>
    <w:rsid w:val="00121C66"/>
    <w:rsid w:val="001223C1"/>
    <w:rsid w:val="00122599"/>
    <w:rsid w:val="0012314F"/>
    <w:rsid w:val="00123592"/>
    <w:rsid w:val="001235FC"/>
    <w:rsid w:val="001258B1"/>
    <w:rsid w:val="00126040"/>
    <w:rsid w:val="0012621E"/>
    <w:rsid w:val="00126D21"/>
    <w:rsid w:val="00127A6D"/>
    <w:rsid w:val="00127CF9"/>
    <w:rsid w:val="001325BD"/>
    <w:rsid w:val="0013357C"/>
    <w:rsid w:val="001336FB"/>
    <w:rsid w:val="00133730"/>
    <w:rsid w:val="00133F15"/>
    <w:rsid w:val="001345A4"/>
    <w:rsid w:val="00134BFE"/>
    <w:rsid w:val="00136538"/>
    <w:rsid w:val="00136BD2"/>
    <w:rsid w:val="001376C0"/>
    <w:rsid w:val="00137E0F"/>
    <w:rsid w:val="001401F6"/>
    <w:rsid w:val="0014175F"/>
    <w:rsid w:val="00141B86"/>
    <w:rsid w:val="00141F45"/>
    <w:rsid w:val="001424D0"/>
    <w:rsid w:val="0014341E"/>
    <w:rsid w:val="001437FD"/>
    <w:rsid w:val="00143FD1"/>
    <w:rsid w:val="001452AF"/>
    <w:rsid w:val="001452C9"/>
    <w:rsid w:val="001455C4"/>
    <w:rsid w:val="00145CA2"/>
    <w:rsid w:val="00147A01"/>
    <w:rsid w:val="00147C7F"/>
    <w:rsid w:val="00147DA8"/>
    <w:rsid w:val="001500D0"/>
    <w:rsid w:val="0015021B"/>
    <w:rsid w:val="001509D2"/>
    <w:rsid w:val="00150DF1"/>
    <w:rsid w:val="00151AF4"/>
    <w:rsid w:val="00151B15"/>
    <w:rsid w:val="00151C53"/>
    <w:rsid w:val="001521F4"/>
    <w:rsid w:val="001523C6"/>
    <w:rsid w:val="00152D76"/>
    <w:rsid w:val="001538F6"/>
    <w:rsid w:val="001539C8"/>
    <w:rsid w:val="00154615"/>
    <w:rsid w:val="00155484"/>
    <w:rsid w:val="00155A4C"/>
    <w:rsid w:val="00155B30"/>
    <w:rsid w:val="00155B9F"/>
    <w:rsid w:val="00156107"/>
    <w:rsid w:val="00156AF2"/>
    <w:rsid w:val="00156D13"/>
    <w:rsid w:val="00157B00"/>
    <w:rsid w:val="00157B24"/>
    <w:rsid w:val="00160224"/>
    <w:rsid w:val="001603B7"/>
    <w:rsid w:val="00160B8B"/>
    <w:rsid w:val="00160CB6"/>
    <w:rsid w:val="00161ED2"/>
    <w:rsid w:val="001621CC"/>
    <w:rsid w:val="00162CAA"/>
    <w:rsid w:val="00162F48"/>
    <w:rsid w:val="00162F7A"/>
    <w:rsid w:val="001633BC"/>
    <w:rsid w:val="00163C96"/>
    <w:rsid w:val="001643F7"/>
    <w:rsid w:val="001647C3"/>
    <w:rsid w:val="001650F4"/>
    <w:rsid w:val="0016517B"/>
    <w:rsid w:val="00165242"/>
    <w:rsid w:val="001654D5"/>
    <w:rsid w:val="001655EB"/>
    <w:rsid w:val="00165883"/>
    <w:rsid w:val="00166DC0"/>
    <w:rsid w:val="00170ABF"/>
    <w:rsid w:val="00170D35"/>
    <w:rsid w:val="00171171"/>
    <w:rsid w:val="001714A5"/>
    <w:rsid w:val="001716D7"/>
    <w:rsid w:val="00171CDB"/>
    <w:rsid w:val="001721CC"/>
    <w:rsid w:val="00172A27"/>
    <w:rsid w:val="00173102"/>
    <w:rsid w:val="00175277"/>
    <w:rsid w:val="00176988"/>
    <w:rsid w:val="00177526"/>
    <w:rsid w:val="001775C2"/>
    <w:rsid w:val="00177659"/>
    <w:rsid w:val="001779AE"/>
    <w:rsid w:val="00177BF6"/>
    <w:rsid w:val="00180A51"/>
    <w:rsid w:val="00181DBE"/>
    <w:rsid w:val="00181E95"/>
    <w:rsid w:val="001823B7"/>
    <w:rsid w:val="00182BAD"/>
    <w:rsid w:val="00182EF8"/>
    <w:rsid w:val="001836DD"/>
    <w:rsid w:val="001840F7"/>
    <w:rsid w:val="00184443"/>
    <w:rsid w:val="0018524C"/>
    <w:rsid w:val="00185624"/>
    <w:rsid w:val="00185B47"/>
    <w:rsid w:val="00185C10"/>
    <w:rsid w:val="00187406"/>
    <w:rsid w:val="001902B2"/>
    <w:rsid w:val="0019031B"/>
    <w:rsid w:val="001903D3"/>
    <w:rsid w:val="001906BF"/>
    <w:rsid w:val="001908C4"/>
    <w:rsid w:val="00190A37"/>
    <w:rsid w:val="00190E2F"/>
    <w:rsid w:val="00190F56"/>
    <w:rsid w:val="00191AC8"/>
    <w:rsid w:val="00191B8B"/>
    <w:rsid w:val="00192176"/>
    <w:rsid w:val="001928AB"/>
    <w:rsid w:val="00193F3E"/>
    <w:rsid w:val="00194A80"/>
    <w:rsid w:val="00194B6F"/>
    <w:rsid w:val="00194C28"/>
    <w:rsid w:val="00196716"/>
    <w:rsid w:val="00197C8F"/>
    <w:rsid w:val="001A0704"/>
    <w:rsid w:val="001A23DC"/>
    <w:rsid w:val="001A2411"/>
    <w:rsid w:val="001A2D81"/>
    <w:rsid w:val="001A4ABC"/>
    <w:rsid w:val="001A55FF"/>
    <w:rsid w:val="001A5AA6"/>
    <w:rsid w:val="001A5E3E"/>
    <w:rsid w:val="001A5F73"/>
    <w:rsid w:val="001A7985"/>
    <w:rsid w:val="001A7E35"/>
    <w:rsid w:val="001B02DA"/>
    <w:rsid w:val="001B0465"/>
    <w:rsid w:val="001B1C99"/>
    <w:rsid w:val="001B2DD3"/>
    <w:rsid w:val="001B4C78"/>
    <w:rsid w:val="001B52FB"/>
    <w:rsid w:val="001B54B2"/>
    <w:rsid w:val="001B5933"/>
    <w:rsid w:val="001B599D"/>
    <w:rsid w:val="001B5BB5"/>
    <w:rsid w:val="001B71A8"/>
    <w:rsid w:val="001B72C9"/>
    <w:rsid w:val="001B734C"/>
    <w:rsid w:val="001B7B02"/>
    <w:rsid w:val="001C0AB8"/>
    <w:rsid w:val="001C15B5"/>
    <w:rsid w:val="001C1A07"/>
    <w:rsid w:val="001C1B14"/>
    <w:rsid w:val="001C21EE"/>
    <w:rsid w:val="001C2920"/>
    <w:rsid w:val="001C3182"/>
    <w:rsid w:val="001C5C82"/>
    <w:rsid w:val="001C6CFF"/>
    <w:rsid w:val="001C7A6B"/>
    <w:rsid w:val="001D0FAE"/>
    <w:rsid w:val="001D1AC7"/>
    <w:rsid w:val="001D1C4B"/>
    <w:rsid w:val="001D2876"/>
    <w:rsid w:val="001D2ACA"/>
    <w:rsid w:val="001D34C0"/>
    <w:rsid w:val="001D38E6"/>
    <w:rsid w:val="001D3DD7"/>
    <w:rsid w:val="001D3E67"/>
    <w:rsid w:val="001D4738"/>
    <w:rsid w:val="001D5B06"/>
    <w:rsid w:val="001D5D0A"/>
    <w:rsid w:val="001D67D3"/>
    <w:rsid w:val="001D686D"/>
    <w:rsid w:val="001E010E"/>
    <w:rsid w:val="001E0541"/>
    <w:rsid w:val="001E0558"/>
    <w:rsid w:val="001E16D5"/>
    <w:rsid w:val="001E1E48"/>
    <w:rsid w:val="001E32E5"/>
    <w:rsid w:val="001E38D7"/>
    <w:rsid w:val="001E3B79"/>
    <w:rsid w:val="001E425F"/>
    <w:rsid w:val="001E4791"/>
    <w:rsid w:val="001E511B"/>
    <w:rsid w:val="001E5295"/>
    <w:rsid w:val="001E59E2"/>
    <w:rsid w:val="001E6028"/>
    <w:rsid w:val="001E6DBE"/>
    <w:rsid w:val="001E6EE1"/>
    <w:rsid w:val="001E7A01"/>
    <w:rsid w:val="001F131F"/>
    <w:rsid w:val="001F2124"/>
    <w:rsid w:val="001F4CBB"/>
    <w:rsid w:val="001F4EEC"/>
    <w:rsid w:val="001F746D"/>
    <w:rsid w:val="001F7C09"/>
    <w:rsid w:val="00202076"/>
    <w:rsid w:val="0020219B"/>
    <w:rsid w:val="0020296D"/>
    <w:rsid w:val="002037BF"/>
    <w:rsid w:val="00203B81"/>
    <w:rsid w:val="00203C0E"/>
    <w:rsid w:val="00204274"/>
    <w:rsid w:val="00204349"/>
    <w:rsid w:val="00204A06"/>
    <w:rsid w:val="00205674"/>
    <w:rsid w:val="00205D32"/>
    <w:rsid w:val="002061B2"/>
    <w:rsid w:val="0020627A"/>
    <w:rsid w:val="00207EA9"/>
    <w:rsid w:val="00210B68"/>
    <w:rsid w:val="00210ECC"/>
    <w:rsid w:val="00211589"/>
    <w:rsid w:val="0021173B"/>
    <w:rsid w:val="0021319B"/>
    <w:rsid w:val="00213C49"/>
    <w:rsid w:val="002146F3"/>
    <w:rsid w:val="00214A8B"/>
    <w:rsid w:val="00215D29"/>
    <w:rsid w:val="002162C7"/>
    <w:rsid w:val="00216A52"/>
    <w:rsid w:val="00216CA2"/>
    <w:rsid w:val="00217E0C"/>
    <w:rsid w:val="00220903"/>
    <w:rsid w:val="00220AAF"/>
    <w:rsid w:val="00220FE1"/>
    <w:rsid w:val="0022106C"/>
    <w:rsid w:val="00221270"/>
    <w:rsid w:val="002213B1"/>
    <w:rsid w:val="0022155B"/>
    <w:rsid w:val="00221FE3"/>
    <w:rsid w:val="002229AF"/>
    <w:rsid w:val="00222A71"/>
    <w:rsid w:val="00222B29"/>
    <w:rsid w:val="00223186"/>
    <w:rsid w:val="00223614"/>
    <w:rsid w:val="00224240"/>
    <w:rsid w:val="002244DA"/>
    <w:rsid w:val="00224E4C"/>
    <w:rsid w:val="00226C04"/>
    <w:rsid w:val="00226E80"/>
    <w:rsid w:val="00227C93"/>
    <w:rsid w:val="00227D9F"/>
    <w:rsid w:val="00230B15"/>
    <w:rsid w:val="0023166B"/>
    <w:rsid w:val="00231A5F"/>
    <w:rsid w:val="00231AED"/>
    <w:rsid w:val="00231FCA"/>
    <w:rsid w:val="002337F0"/>
    <w:rsid w:val="002340B0"/>
    <w:rsid w:val="00235032"/>
    <w:rsid w:val="00235428"/>
    <w:rsid w:val="002354BC"/>
    <w:rsid w:val="00236D2E"/>
    <w:rsid w:val="00236DD6"/>
    <w:rsid w:val="00236F9F"/>
    <w:rsid w:val="00237495"/>
    <w:rsid w:val="00237C49"/>
    <w:rsid w:val="002402DA"/>
    <w:rsid w:val="002408A8"/>
    <w:rsid w:val="00241B9C"/>
    <w:rsid w:val="00241E6E"/>
    <w:rsid w:val="00241EA5"/>
    <w:rsid w:val="00242A0A"/>
    <w:rsid w:val="00243316"/>
    <w:rsid w:val="00244451"/>
    <w:rsid w:val="0024488D"/>
    <w:rsid w:val="00245130"/>
    <w:rsid w:val="00245AE6"/>
    <w:rsid w:val="00246167"/>
    <w:rsid w:val="00247180"/>
    <w:rsid w:val="002501D7"/>
    <w:rsid w:val="00250A4A"/>
    <w:rsid w:val="0025214F"/>
    <w:rsid w:val="002528AA"/>
    <w:rsid w:val="00252965"/>
    <w:rsid w:val="00253A72"/>
    <w:rsid w:val="002541E4"/>
    <w:rsid w:val="002545BF"/>
    <w:rsid w:val="002557C2"/>
    <w:rsid w:val="00255C2A"/>
    <w:rsid w:val="00255D91"/>
    <w:rsid w:val="00256D44"/>
    <w:rsid w:val="00256E7B"/>
    <w:rsid w:val="0025761F"/>
    <w:rsid w:val="00257F3B"/>
    <w:rsid w:val="00260ABC"/>
    <w:rsid w:val="00260BE7"/>
    <w:rsid w:val="00260D01"/>
    <w:rsid w:val="00260FF0"/>
    <w:rsid w:val="00261593"/>
    <w:rsid w:val="00261D6C"/>
    <w:rsid w:val="00261EBF"/>
    <w:rsid w:val="00262AFA"/>
    <w:rsid w:val="00262CB0"/>
    <w:rsid w:val="0026307E"/>
    <w:rsid w:val="0026383A"/>
    <w:rsid w:val="0026392B"/>
    <w:rsid w:val="00263F14"/>
    <w:rsid w:val="00264036"/>
    <w:rsid w:val="0026420B"/>
    <w:rsid w:val="0026467A"/>
    <w:rsid w:val="00264812"/>
    <w:rsid w:val="002650D7"/>
    <w:rsid w:val="00265368"/>
    <w:rsid w:val="00265AB8"/>
    <w:rsid w:val="0026655E"/>
    <w:rsid w:val="00266F6D"/>
    <w:rsid w:val="00267216"/>
    <w:rsid w:val="0026722E"/>
    <w:rsid w:val="0026744E"/>
    <w:rsid w:val="00267FB8"/>
    <w:rsid w:val="0027004A"/>
    <w:rsid w:val="0027038C"/>
    <w:rsid w:val="0027073B"/>
    <w:rsid w:val="002712A3"/>
    <w:rsid w:val="002722CC"/>
    <w:rsid w:val="0027236C"/>
    <w:rsid w:val="00274F1F"/>
    <w:rsid w:val="00275130"/>
    <w:rsid w:val="00275264"/>
    <w:rsid w:val="00275332"/>
    <w:rsid w:val="0027555B"/>
    <w:rsid w:val="00275A49"/>
    <w:rsid w:val="0027750D"/>
    <w:rsid w:val="0028023A"/>
    <w:rsid w:val="00280A26"/>
    <w:rsid w:val="00281A69"/>
    <w:rsid w:val="00281E50"/>
    <w:rsid w:val="00281F47"/>
    <w:rsid w:val="00282620"/>
    <w:rsid w:val="00284032"/>
    <w:rsid w:val="002840C2"/>
    <w:rsid w:val="002841B4"/>
    <w:rsid w:val="00284420"/>
    <w:rsid w:val="00284A96"/>
    <w:rsid w:val="00285623"/>
    <w:rsid w:val="00285B31"/>
    <w:rsid w:val="002866DC"/>
    <w:rsid w:val="00286C23"/>
    <w:rsid w:val="00286D87"/>
    <w:rsid w:val="00286E13"/>
    <w:rsid w:val="00287608"/>
    <w:rsid w:val="00287808"/>
    <w:rsid w:val="00287C21"/>
    <w:rsid w:val="00287E5E"/>
    <w:rsid w:val="002912F2"/>
    <w:rsid w:val="00293230"/>
    <w:rsid w:val="00293A35"/>
    <w:rsid w:val="0029440C"/>
    <w:rsid w:val="002948AD"/>
    <w:rsid w:val="00295E76"/>
    <w:rsid w:val="00296212"/>
    <w:rsid w:val="00296E64"/>
    <w:rsid w:val="002978B1"/>
    <w:rsid w:val="00297943"/>
    <w:rsid w:val="002A053A"/>
    <w:rsid w:val="002A0971"/>
    <w:rsid w:val="002A0F1B"/>
    <w:rsid w:val="002A1270"/>
    <w:rsid w:val="002A2840"/>
    <w:rsid w:val="002A31D6"/>
    <w:rsid w:val="002A3234"/>
    <w:rsid w:val="002A4BEC"/>
    <w:rsid w:val="002A4E00"/>
    <w:rsid w:val="002A59A0"/>
    <w:rsid w:val="002A5C6C"/>
    <w:rsid w:val="002A5DD7"/>
    <w:rsid w:val="002A5F40"/>
    <w:rsid w:val="002A60BA"/>
    <w:rsid w:val="002A643A"/>
    <w:rsid w:val="002A65CC"/>
    <w:rsid w:val="002A6783"/>
    <w:rsid w:val="002A6FA2"/>
    <w:rsid w:val="002B02A7"/>
    <w:rsid w:val="002B037E"/>
    <w:rsid w:val="002B0583"/>
    <w:rsid w:val="002B0673"/>
    <w:rsid w:val="002B0D02"/>
    <w:rsid w:val="002B0E39"/>
    <w:rsid w:val="002B1967"/>
    <w:rsid w:val="002B1B36"/>
    <w:rsid w:val="002B2BC1"/>
    <w:rsid w:val="002B2CAD"/>
    <w:rsid w:val="002B2F0B"/>
    <w:rsid w:val="002B37A8"/>
    <w:rsid w:val="002B409D"/>
    <w:rsid w:val="002B42EF"/>
    <w:rsid w:val="002B4806"/>
    <w:rsid w:val="002B5938"/>
    <w:rsid w:val="002B5ED1"/>
    <w:rsid w:val="002C075D"/>
    <w:rsid w:val="002C0E73"/>
    <w:rsid w:val="002C12AA"/>
    <w:rsid w:val="002C21AF"/>
    <w:rsid w:val="002C2575"/>
    <w:rsid w:val="002C28A8"/>
    <w:rsid w:val="002C2FF9"/>
    <w:rsid w:val="002C36E1"/>
    <w:rsid w:val="002C3AC8"/>
    <w:rsid w:val="002C5460"/>
    <w:rsid w:val="002C571E"/>
    <w:rsid w:val="002C6527"/>
    <w:rsid w:val="002C6AEA"/>
    <w:rsid w:val="002D04D2"/>
    <w:rsid w:val="002D07DF"/>
    <w:rsid w:val="002D0B1F"/>
    <w:rsid w:val="002D2B83"/>
    <w:rsid w:val="002D2F6C"/>
    <w:rsid w:val="002D483D"/>
    <w:rsid w:val="002D5108"/>
    <w:rsid w:val="002D59EF"/>
    <w:rsid w:val="002D6796"/>
    <w:rsid w:val="002D697E"/>
    <w:rsid w:val="002D79A5"/>
    <w:rsid w:val="002E0728"/>
    <w:rsid w:val="002E16AC"/>
    <w:rsid w:val="002E1725"/>
    <w:rsid w:val="002E172C"/>
    <w:rsid w:val="002E1DEF"/>
    <w:rsid w:val="002E2593"/>
    <w:rsid w:val="002E2B54"/>
    <w:rsid w:val="002E2F6D"/>
    <w:rsid w:val="002E369F"/>
    <w:rsid w:val="002E4047"/>
    <w:rsid w:val="002E4117"/>
    <w:rsid w:val="002E4470"/>
    <w:rsid w:val="002E45B7"/>
    <w:rsid w:val="002E576B"/>
    <w:rsid w:val="002E6A53"/>
    <w:rsid w:val="002E6A5E"/>
    <w:rsid w:val="002F0582"/>
    <w:rsid w:val="002F13DE"/>
    <w:rsid w:val="002F2535"/>
    <w:rsid w:val="002F2DF4"/>
    <w:rsid w:val="002F3612"/>
    <w:rsid w:val="002F3984"/>
    <w:rsid w:val="002F548E"/>
    <w:rsid w:val="002F58AD"/>
    <w:rsid w:val="002F76C0"/>
    <w:rsid w:val="003027FD"/>
    <w:rsid w:val="00302C3B"/>
    <w:rsid w:val="00302E0C"/>
    <w:rsid w:val="00302E86"/>
    <w:rsid w:val="00303D12"/>
    <w:rsid w:val="003049AF"/>
    <w:rsid w:val="00304B29"/>
    <w:rsid w:val="00304EA4"/>
    <w:rsid w:val="0030510B"/>
    <w:rsid w:val="00306CB0"/>
    <w:rsid w:val="00307F09"/>
    <w:rsid w:val="0031031E"/>
    <w:rsid w:val="00310B90"/>
    <w:rsid w:val="003110B7"/>
    <w:rsid w:val="0031121C"/>
    <w:rsid w:val="00311E9D"/>
    <w:rsid w:val="00312394"/>
    <w:rsid w:val="00312555"/>
    <w:rsid w:val="00312689"/>
    <w:rsid w:val="0031291F"/>
    <w:rsid w:val="00313ABD"/>
    <w:rsid w:val="003141AB"/>
    <w:rsid w:val="00314C92"/>
    <w:rsid w:val="00314D52"/>
    <w:rsid w:val="00315443"/>
    <w:rsid w:val="00315697"/>
    <w:rsid w:val="0031637C"/>
    <w:rsid w:val="00316852"/>
    <w:rsid w:val="003175EF"/>
    <w:rsid w:val="0032133C"/>
    <w:rsid w:val="00321786"/>
    <w:rsid w:val="00321E62"/>
    <w:rsid w:val="00321EC9"/>
    <w:rsid w:val="00321F35"/>
    <w:rsid w:val="00322124"/>
    <w:rsid w:val="00322334"/>
    <w:rsid w:val="00322705"/>
    <w:rsid w:val="00323677"/>
    <w:rsid w:val="00323CF5"/>
    <w:rsid w:val="00324636"/>
    <w:rsid w:val="0032475D"/>
    <w:rsid w:val="003249C2"/>
    <w:rsid w:val="003259CD"/>
    <w:rsid w:val="003261B5"/>
    <w:rsid w:val="00326397"/>
    <w:rsid w:val="0032646E"/>
    <w:rsid w:val="00326539"/>
    <w:rsid w:val="003268EA"/>
    <w:rsid w:val="00326A47"/>
    <w:rsid w:val="003270A1"/>
    <w:rsid w:val="00327336"/>
    <w:rsid w:val="00327806"/>
    <w:rsid w:val="00327F62"/>
    <w:rsid w:val="00327FD4"/>
    <w:rsid w:val="00332094"/>
    <w:rsid w:val="00333A28"/>
    <w:rsid w:val="003340CD"/>
    <w:rsid w:val="0033415E"/>
    <w:rsid w:val="00334F36"/>
    <w:rsid w:val="00335CD5"/>
    <w:rsid w:val="00340FB5"/>
    <w:rsid w:val="00341111"/>
    <w:rsid w:val="00341C76"/>
    <w:rsid w:val="00342511"/>
    <w:rsid w:val="00342DD3"/>
    <w:rsid w:val="00343AF3"/>
    <w:rsid w:val="003443F0"/>
    <w:rsid w:val="00345093"/>
    <w:rsid w:val="00345804"/>
    <w:rsid w:val="00345F10"/>
    <w:rsid w:val="00346FDB"/>
    <w:rsid w:val="003476CC"/>
    <w:rsid w:val="00347A0D"/>
    <w:rsid w:val="00350C49"/>
    <w:rsid w:val="003518BF"/>
    <w:rsid w:val="0035193B"/>
    <w:rsid w:val="00352750"/>
    <w:rsid w:val="00352B3F"/>
    <w:rsid w:val="00353405"/>
    <w:rsid w:val="00353551"/>
    <w:rsid w:val="00355FD1"/>
    <w:rsid w:val="00356E5D"/>
    <w:rsid w:val="00356F04"/>
    <w:rsid w:val="00357613"/>
    <w:rsid w:val="003578FB"/>
    <w:rsid w:val="0036145B"/>
    <w:rsid w:val="003624CA"/>
    <w:rsid w:val="003628D2"/>
    <w:rsid w:val="00362B9D"/>
    <w:rsid w:val="0036518A"/>
    <w:rsid w:val="0036572F"/>
    <w:rsid w:val="00365F6A"/>
    <w:rsid w:val="00366827"/>
    <w:rsid w:val="00367172"/>
    <w:rsid w:val="0036760C"/>
    <w:rsid w:val="003702BE"/>
    <w:rsid w:val="003721BC"/>
    <w:rsid w:val="0037286E"/>
    <w:rsid w:val="00372BCB"/>
    <w:rsid w:val="00372C36"/>
    <w:rsid w:val="00373764"/>
    <w:rsid w:val="00373E36"/>
    <w:rsid w:val="003754AA"/>
    <w:rsid w:val="0037705A"/>
    <w:rsid w:val="003771B5"/>
    <w:rsid w:val="003773FD"/>
    <w:rsid w:val="003807C1"/>
    <w:rsid w:val="00380C54"/>
    <w:rsid w:val="00381323"/>
    <w:rsid w:val="00381741"/>
    <w:rsid w:val="00381AE1"/>
    <w:rsid w:val="00381CC9"/>
    <w:rsid w:val="00381F69"/>
    <w:rsid w:val="0038215F"/>
    <w:rsid w:val="0038273D"/>
    <w:rsid w:val="00382D6E"/>
    <w:rsid w:val="0038337A"/>
    <w:rsid w:val="00383FE5"/>
    <w:rsid w:val="00384260"/>
    <w:rsid w:val="00384C9C"/>
    <w:rsid w:val="00385265"/>
    <w:rsid w:val="00385FE8"/>
    <w:rsid w:val="0038690B"/>
    <w:rsid w:val="00386D94"/>
    <w:rsid w:val="00386F9D"/>
    <w:rsid w:val="003870EF"/>
    <w:rsid w:val="00387420"/>
    <w:rsid w:val="00387BAB"/>
    <w:rsid w:val="00387D3F"/>
    <w:rsid w:val="003902BB"/>
    <w:rsid w:val="00390527"/>
    <w:rsid w:val="0039068B"/>
    <w:rsid w:val="00390E54"/>
    <w:rsid w:val="0039108A"/>
    <w:rsid w:val="00391109"/>
    <w:rsid w:val="00391206"/>
    <w:rsid w:val="00391B05"/>
    <w:rsid w:val="00391FD8"/>
    <w:rsid w:val="00392669"/>
    <w:rsid w:val="00392D5C"/>
    <w:rsid w:val="00392D8A"/>
    <w:rsid w:val="0039336A"/>
    <w:rsid w:val="00393550"/>
    <w:rsid w:val="00393CCB"/>
    <w:rsid w:val="00393F9E"/>
    <w:rsid w:val="00394AF3"/>
    <w:rsid w:val="00394D00"/>
    <w:rsid w:val="00395465"/>
    <w:rsid w:val="00395D2A"/>
    <w:rsid w:val="00397DDD"/>
    <w:rsid w:val="003A1C8C"/>
    <w:rsid w:val="003A1D09"/>
    <w:rsid w:val="003A1F47"/>
    <w:rsid w:val="003A244B"/>
    <w:rsid w:val="003A249E"/>
    <w:rsid w:val="003A323C"/>
    <w:rsid w:val="003A3C19"/>
    <w:rsid w:val="003A3CAF"/>
    <w:rsid w:val="003A4B3A"/>
    <w:rsid w:val="003A53B2"/>
    <w:rsid w:val="003A58AD"/>
    <w:rsid w:val="003A5A6E"/>
    <w:rsid w:val="003A5DB5"/>
    <w:rsid w:val="003A64B5"/>
    <w:rsid w:val="003A70C7"/>
    <w:rsid w:val="003B03B7"/>
    <w:rsid w:val="003B046B"/>
    <w:rsid w:val="003B0C6E"/>
    <w:rsid w:val="003B1B61"/>
    <w:rsid w:val="003B1C9B"/>
    <w:rsid w:val="003B3F3B"/>
    <w:rsid w:val="003B465C"/>
    <w:rsid w:val="003B568A"/>
    <w:rsid w:val="003B6BE6"/>
    <w:rsid w:val="003B7423"/>
    <w:rsid w:val="003B7D36"/>
    <w:rsid w:val="003C01D5"/>
    <w:rsid w:val="003C0A4C"/>
    <w:rsid w:val="003C126C"/>
    <w:rsid w:val="003C1582"/>
    <w:rsid w:val="003C229A"/>
    <w:rsid w:val="003C2C98"/>
    <w:rsid w:val="003C2FE1"/>
    <w:rsid w:val="003C3762"/>
    <w:rsid w:val="003C3C3F"/>
    <w:rsid w:val="003C4CF9"/>
    <w:rsid w:val="003C4D68"/>
    <w:rsid w:val="003C4E39"/>
    <w:rsid w:val="003C67CE"/>
    <w:rsid w:val="003C7288"/>
    <w:rsid w:val="003D0128"/>
    <w:rsid w:val="003D10F7"/>
    <w:rsid w:val="003D16B0"/>
    <w:rsid w:val="003D1AD5"/>
    <w:rsid w:val="003D1B39"/>
    <w:rsid w:val="003D2008"/>
    <w:rsid w:val="003D292D"/>
    <w:rsid w:val="003D43A7"/>
    <w:rsid w:val="003D458C"/>
    <w:rsid w:val="003D56B8"/>
    <w:rsid w:val="003D5973"/>
    <w:rsid w:val="003D6459"/>
    <w:rsid w:val="003D71DD"/>
    <w:rsid w:val="003D71F1"/>
    <w:rsid w:val="003D733E"/>
    <w:rsid w:val="003E163A"/>
    <w:rsid w:val="003E2299"/>
    <w:rsid w:val="003E2996"/>
    <w:rsid w:val="003E2D09"/>
    <w:rsid w:val="003E2F98"/>
    <w:rsid w:val="003E3C63"/>
    <w:rsid w:val="003E448B"/>
    <w:rsid w:val="003E4E06"/>
    <w:rsid w:val="003E605E"/>
    <w:rsid w:val="003E6F97"/>
    <w:rsid w:val="003F050F"/>
    <w:rsid w:val="003F0520"/>
    <w:rsid w:val="003F0D4C"/>
    <w:rsid w:val="003F12C0"/>
    <w:rsid w:val="003F36B2"/>
    <w:rsid w:val="003F3AAA"/>
    <w:rsid w:val="003F4045"/>
    <w:rsid w:val="003F46B7"/>
    <w:rsid w:val="003F4DD5"/>
    <w:rsid w:val="003F5665"/>
    <w:rsid w:val="003F5C0F"/>
    <w:rsid w:val="003F5C4D"/>
    <w:rsid w:val="003F602D"/>
    <w:rsid w:val="003F72E0"/>
    <w:rsid w:val="003F7F3B"/>
    <w:rsid w:val="00401000"/>
    <w:rsid w:val="00401368"/>
    <w:rsid w:val="004015A3"/>
    <w:rsid w:val="00401D43"/>
    <w:rsid w:val="00401D65"/>
    <w:rsid w:val="00401FC9"/>
    <w:rsid w:val="0040337A"/>
    <w:rsid w:val="00404976"/>
    <w:rsid w:val="004066E1"/>
    <w:rsid w:val="00407836"/>
    <w:rsid w:val="0041002F"/>
    <w:rsid w:val="004104A6"/>
    <w:rsid w:val="0041077E"/>
    <w:rsid w:val="00410BD9"/>
    <w:rsid w:val="00411CB5"/>
    <w:rsid w:val="004125B1"/>
    <w:rsid w:val="004138B3"/>
    <w:rsid w:val="00414CE7"/>
    <w:rsid w:val="00415222"/>
    <w:rsid w:val="004157E5"/>
    <w:rsid w:val="0041675A"/>
    <w:rsid w:val="00417A3A"/>
    <w:rsid w:val="00420016"/>
    <w:rsid w:val="00420AF9"/>
    <w:rsid w:val="00421012"/>
    <w:rsid w:val="004212A8"/>
    <w:rsid w:val="00421D16"/>
    <w:rsid w:val="00421EC8"/>
    <w:rsid w:val="00421FAD"/>
    <w:rsid w:val="004221B6"/>
    <w:rsid w:val="00423340"/>
    <w:rsid w:val="004244BD"/>
    <w:rsid w:val="00424C2C"/>
    <w:rsid w:val="00424ED9"/>
    <w:rsid w:val="00426127"/>
    <w:rsid w:val="0042664D"/>
    <w:rsid w:val="00426B7A"/>
    <w:rsid w:val="00426D8C"/>
    <w:rsid w:val="00427EBB"/>
    <w:rsid w:val="0043019E"/>
    <w:rsid w:val="0043138B"/>
    <w:rsid w:val="00431D90"/>
    <w:rsid w:val="0043243A"/>
    <w:rsid w:val="004324AB"/>
    <w:rsid w:val="00433803"/>
    <w:rsid w:val="00433CF0"/>
    <w:rsid w:val="00434250"/>
    <w:rsid w:val="00434273"/>
    <w:rsid w:val="0043627B"/>
    <w:rsid w:val="00436361"/>
    <w:rsid w:val="004364DE"/>
    <w:rsid w:val="00436817"/>
    <w:rsid w:val="00436F60"/>
    <w:rsid w:val="00437057"/>
    <w:rsid w:val="0044035A"/>
    <w:rsid w:val="00440662"/>
    <w:rsid w:val="0044096C"/>
    <w:rsid w:val="00440B39"/>
    <w:rsid w:val="00441039"/>
    <w:rsid w:val="00441B62"/>
    <w:rsid w:val="00441F0A"/>
    <w:rsid w:val="004425E2"/>
    <w:rsid w:val="0044263B"/>
    <w:rsid w:val="00442B08"/>
    <w:rsid w:val="00443491"/>
    <w:rsid w:val="00443E6C"/>
    <w:rsid w:val="004440A5"/>
    <w:rsid w:val="004449A3"/>
    <w:rsid w:val="004458D9"/>
    <w:rsid w:val="00445FCA"/>
    <w:rsid w:val="00446109"/>
    <w:rsid w:val="00447D2A"/>
    <w:rsid w:val="0045402B"/>
    <w:rsid w:val="00454471"/>
    <w:rsid w:val="004546D3"/>
    <w:rsid w:val="00454C55"/>
    <w:rsid w:val="00454C89"/>
    <w:rsid w:val="00454E49"/>
    <w:rsid w:val="00454E82"/>
    <w:rsid w:val="0045534C"/>
    <w:rsid w:val="004557E0"/>
    <w:rsid w:val="0045656E"/>
    <w:rsid w:val="004566C6"/>
    <w:rsid w:val="00456C5A"/>
    <w:rsid w:val="00456D09"/>
    <w:rsid w:val="004572C4"/>
    <w:rsid w:val="004573D7"/>
    <w:rsid w:val="0045747A"/>
    <w:rsid w:val="00457625"/>
    <w:rsid w:val="00461BD5"/>
    <w:rsid w:val="00462456"/>
    <w:rsid w:val="004626F3"/>
    <w:rsid w:val="00462AA3"/>
    <w:rsid w:val="0046308E"/>
    <w:rsid w:val="00463162"/>
    <w:rsid w:val="00463668"/>
    <w:rsid w:val="00463878"/>
    <w:rsid w:val="00465BB7"/>
    <w:rsid w:val="004660AE"/>
    <w:rsid w:val="004671B6"/>
    <w:rsid w:val="00467F99"/>
    <w:rsid w:val="004706BF"/>
    <w:rsid w:val="004730CB"/>
    <w:rsid w:val="004754E7"/>
    <w:rsid w:val="0048019F"/>
    <w:rsid w:val="00480486"/>
    <w:rsid w:val="004812A1"/>
    <w:rsid w:val="00482880"/>
    <w:rsid w:val="00482F1A"/>
    <w:rsid w:val="004835BD"/>
    <w:rsid w:val="00483896"/>
    <w:rsid w:val="00483C15"/>
    <w:rsid w:val="00484203"/>
    <w:rsid w:val="00484833"/>
    <w:rsid w:val="00485B2B"/>
    <w:rsid w:val="004860D1"/>
    <w:rsid w:val="004868C6"/>
    <w:rsid w:val="00486917"/>
    <w:rsid w:val="00486ED5"/>
    <w:rsid w:val="004901A2"/>
    <w:rsid w:val="00490468"/>
    <w:rsid w:val="00490658"/>
    <w:rsid w:val="00490DC3"/>
    <w:rsid w:val="0049109E"/>
    <w:rsid w:val="00491489"/>
    <w:rsid w:val="0049153C"/>
    <w:rsid w:val="004921A5"/>
    <w:rsid w:val="004922E9"/>
    <w:rsid w:val="00493217"/>
    <w:rsid w:val="00494A6C"/>
    <w:rsid w:val="00495233"/>
    <w:rsid w:val="0049680D"/>
    <w:rsid w:val="004A030E"/>
    <w:rsid w:val="004A0C2E"/>
    <w:rsid w:val="004A18A9"/>
    <w:rsid w:val="004A1A55"/>
    <w:rsid w:val="004A3A0B"/>
    <w:rsid w:val="004A3E2C"/>
    <w:rsid w:val="004A3F28"/>
    <w:rsid w:val="004A4B15"/>
    <w:rsid w:val="004A5186"/>
    <w:rsid w:val="004A6B5E"/>
    <w:rsid w:val="004A74E4"/>
    <w:rsid w:val="004A75EA"/>
    <w:rsid w:val="004B1BFC"/>
    <w:rsid w:val="004B25DB"/>
    <w:rsid w:val="004B2863"/>
    <w:rsid w:val="004B2AA6"/>
    <w:rsid w:val="004B363E"/>
    <w:rsid w:val="004B3A6A"/>
    <w:rsid w:val="004B40F5"/>
    <w:rsid w:val="004B4107"/>
    <w:rsid w:val="004B4D0E"/>
    <w:rsid w:val="004B51EC"/>
    <w:rsid w:val="004B54FF"/>
    <w:rsid w:val="004B5B20"/>
    <w:rsid w:val="004B5FF4"/>
    <w:rsid w:val="004B621B"/>
    <w:rsid w:val="004B7022"/>
    <w:rsid w:val="004C0106"/>
    <w:rsid w:val="004C108D"/>
    <w:rsid w:val="004C13CC"/>
    <w:rsid w:val="004C184A"/>
    <w:rsid w:val="004C25D8"/>
    <w:rsid w:val="004C2B91"/>
    <w:rsid w:val="004C3D25"/>
    <w:rsid w:val="004C3FEB"/>
    <w:rsid w:val="004C4E26"/>
    <w:rsid w:val="004C57E5"/>
    <w:rsid w:val="004C5FA5"/>
    <w:rsid w:val="004C742D"/>
    <w:rsid w:val="004C785C"/>
    <w:rsid w:val="004C7DF5"/>
    <w:rsid w:val="004D00AB"/>
    <w:rsid w:val="004D00CC"/>
    <w:rsid w:val="004D0502"/>
    <w:rsid w:val="004D091C"/>
    <w:rsid w:val="004D0964"/>
    <w:rsid w:val="004D0DEF"/>
    <w:rsid w:val="004D0F1A"/>
    <w:rsid w:val="004D0FF3"/>
    <w:rsid w:val="004D1DED"/>
    <w:rsid w:val="004D3220"/>
    <w:rsid w:val="004D36FE"/>
    <w:rsid w:val="004D3A5C"/>
    <w:rsid w:val="004D3D38"/>
    <w:rsid w:val="004D483E"/>
    <w:rsid w:val="004D4F47"/>
    <w:rsid w:val="004D5EB7"/>
    <w:rsid w:val="004D5FB4"/>
    <w:rsid w:val="004D7C3F"/>
    <w:rsid w:val="004E12CD"/>
    <w:rsid w:val="004E164A"/>
    <w:rsid w:val="004E30E9"/>
    <w:rsid w:val="004E3259"/>
    <w:rsid w:val="004E4781"/>
    <w:rsid w:val="004E47CB"/>
    <w:rsid w:val="004E48B7"/>
    <w:rsid w:val="004E4BA3"/>
    <w:rsid w:val="004E558D"/>
    <w:rsid w:val="004E7B7C"/>
    <w:rsid w:val="004F0AB7"/>
    <w:rsid w:val="004F10E4"/>
    <w:rsid w:val="004F11D6"/>
    <w:rsid w:val="004F14A9"/>
    <w:rsid w:val="004F1507"/>
    <w:rsid w:val="004F2388"/>
    <w:rsid w:val="004F249C"/>
    <w:rsid w:val="004F3159"/>
    <w:rsid w:val="004F34FC"/>
    <w:rsid w:val="004F4988"/>
    <w:rsid w:val="004F4CFF"/>
    <w:rsid w:val="004F5E88"/>
    <w:rsid w:val="004F5FAB"/>
    <w:rsid w:val="004F670D"/>
    <w:rsid w:val="004F68BB"/>
    <w:rsid w:val="004F7D33"/>
    <w:rsid w:val="005003D2"/>
    <w:rsid w:val="00500EBC"/>
    <w:rsid w:val="00501046"/>
    <w:rsid w:val="00501B17"/>
    <w:rsid w:val="0050287C"/>
    <w:rsid w:val="00502B8D"/>
    <w:rsid w:val="00503572"/>
    <w:rsid w:val="005039EE"/>
    <w:rsid w:val="005046F6"/>
    <w:rsid w:val="0050564C"/>
    <w:rsid w:val="0050729A"/>
    <w:rsid w:val="00510137"/>
    <w:rsid w:val="0051067F"/>
    <w:rsid w:val="00510EBC"/>
    <w:rsid w:val="005122CD"/>
    <w:rsid w:val="00512911"/>
    <w:rsid w:val="00512D02"/>
    <w:rsid w:val="00514D00"/>
    <w:rsid w:val="00515688"/>
    <w:rsid w:val="0051597A"/>
    <w:rsid w:val="00515AE9"/>
    <w:rsid w:val="00515B10"/>
    <w:rsid w:val="0051692D"/>
    <w:rsid w:val="00517ABF"/>
    <w:rsid w:val="00521953"/>
    <w:rsid w:val="00523029"/>
    <w:rsid w:val="00524995"/>
    <w:rsid w:val="00524CC8"/>
    <w:rsid w:val="00525123"/>
    <w:rsid w:val="00525637"/>
    <w:rsid w:val="005256D0"/>
    <w:rsid w:val="00525921"/>
    <w:rsid w:val="00526618"/>
    <w:rsid w:val="00526895"/>
    <w:rsid w:val="005268C5"/>
    <w:rsid w:val="00527B1A"/>
    <w:rsid w:val="0053037B"/>
    <w:rsid w:val="0053040F"/>
    <w:rsid w:val="00530B36"/>
    <w:rsid w:val="0053270E"/>
    <w:rsid w:val="00532E25"/>
    <w:rsid w:val="00532E96"/>
    <w:rsid w:val="00532F02"/>
    <w:rsid w:val="00532FB0"/>
    <w:rsid w:val="00533205"/>
    <w:rsid w:val="005347CA"/>
    <w:rsid w:val="00537353"/>
    <w:rsid w:val="005373C4"/>
    <w:rsid w:val="00541BF5"/>
    <w:rsid w:val="00541C8D"/>
    <w:rsid w:val="00541F13"/>
    <w:rsid w:val="005426FE"/>
    <w:rsid w:val="00542CE9"/>
    <w:rsid w:val="00543843"/>
    <w:rsid w:val="00543D41"/>
    <w:rsid w:val="005461B8"/>
    <w:rsid w:val="00546675"/>
    <w:rsid w:val="00546B68"/>
    <w:rsid w:val="005478D7"/>
    <w:rsid w:val="00550A65"/>
    <w:rsid w:val="00551A61"/>
    <w:rsid w:val="0055244D"/>
    <w:rsid w:val="0055252E"/>
    <w:rsid w:val="005559EE"/>
    <w:rsid w:val="00556183"/>
    <w:rsid w:val="005563E0"/>
    <w:rsid w:val="005609EC"/>
    <w:rsid w:val="00560BC9"/>
    <w:rsid w:val="00560C65"/>
    <w:rsid w:val="00560E7F"/>
    <w:rsid w:val="005611DF"/>
    <w:rsid w:val="00562D1A"/>
    <w:rsid w:val="00563ABA"/>
    <w:rsid w:val="005650F1"/>
    <w:rsid w:val="005664C6"/>
    <w:rsid w:val="0056654D"/>
    <w:rsid w:val="00567F35"/>
    <w:rsid w:val="00570D6D"/>
    <w:rsid w:val="00571707"/>
    <w:rsid w:val="0057185C"/>
    <w:rsid w:val="00571BE9"/>
    <w:rsid w:val="0057229D"/>
    <w:rsid w:val="00572C72"/>
    <w:rsid w:val="0057330D"/>
    <w:rsid w:val="00573372"/>
    <w:rsid w:val="00574025"/>
    <w:rsid w:val="0057419B"/>
    <w:rsid w:val="00575063"/>
    <w:rsid w:val="005755CC"/>
    <w:rsid w:val="005759B1"/>
    <w:rsid w:val="00575C1E"/>
    <w:rsid w:val="00575CBF"/>
    <w:rsid w:val="00575E83"/>
    <w:rsid w:val="00576D03"/>
    <w:rsid w:val="0058057E"/>
    <w:rsid w:val="0058256D"/>
    <w:rsid w:val="00582949"/>
    <w:rsid w:val="00582D94"/>
    <w:rsid w:val="00582F4F"/>
    <w:rsid w:val="00583567"/>
    <w:rsid w:val="0058389B"/>
    <w:rsid w:val="00583EDA"/>
    <w:rsid w:val="00584D4D"/>
    <w:rsid w:val="00584F34"/>
    <w:rsid w:val="00584F49"/>
    <w:rsid w:val="0058564B"/>
    <w:rsid w:val="00586528"/>
    <w:rsid w:val="005869C2"/>
    <w:rsid w:val="00586D5E"/>
    <w:rsid w:val="00587F78"/>
    <w:rsid w:val="00590615"/>
    <w:rsid w:val="00590651"/>
    <w:rsid w:val="00591264"/>
    <w:rsid w:val="0059195E"/>
    <w:rsid w:val="00591994"/>
    <w:rsid w:val="00591D42"/>
    <w:rsid w:val="005922A7"/>
    <w:rsid w:val="0059499C"/>
    <w:rsid w:val="00595825"/>
    <w:rsid w:val="00595BE6"/>
    <w:rsid w:val="0059635B"/>
    <w:rsid w:val="005963A6"/>
    <w:rsid w:val="00597FAA"/>
    <w:rsid w:val="005A006C"/>
    <w:rsid w:val="005A011C"/>
    <w:rsid w:val="005A04FF"/>
    <w:rsid w:val="005A0575"/>
    <w:rsid w:val="005A1767"/>
    <w:rsid w:val="005A1A6A"/>
    <w:rsid w:val="005A1ACC"/>
    <w:rsid w:val="005A1C98"/>
    <w:rsid w:val="005A2474"/>
    <w:rsid w:val="005A2B14"/>
    <w:rsid w:val="005A2D1C"/>
    <w:rsid w:val="005A3289"/>
    <w:rsid w:val="005A35E3"/>
    <w:rsid w:val="005A415F"/>
    <w:rsid w:val="005A46D1"/>
    <w:rsid w:val="005A4BDB"/>
    <w:rsid w:val="005A4F8F"/>
    <w:rsid w:val="005A5FE7"/>
    <w:rsid w:val="005A63F7"/>
    <w:rsid w:val="005A64AF"/>
    <w:rsid w:val="005A7192"/>
    <w:rsid w:val="005A72E7"/>
    <w:rsid w:val="005A7413"/>
    <w:rsid w:val="005B0F4A"/>
    <w:rsid w:val="005B2CA1"/>
    <w:rsid w:val="005B3253"/>
    <w:rsid w:val="005B366A"/>
    <w:rsid w:val="005B436F"/>
    <w:rsid w:val="005B636D"/>
    <w:rsid w:val="005B640B"/>
    <w:rsid w:val="005B7139"/>
    <w:rsid w:val="005C0455"/>
    <w:rsid w:val="005C152F"/>
    <w:rsid w:val="005C1C53"/>
    <w:rsid w:val="005C2030"/>
    <w:rsid w:val="005C29F8"/>
    <w:rsid w:val="005C2D5E"/>
    <w:rsid w:val="005C491D"/>
    <w:rsid w:val="005C4A25"/>
    <w:rsid w:val="005C4BF4"/>
    <w:rsid w:val="005C5268"/>
    <w:rsid w:val="005C52E6"/>
    <w:rsid w:val="005C59D9"/>
    <w:rsid w:val="005C5D4B"/>
    <w:rsid w:val="005C603E"/>
    <w:rsid w:val="005C610C"/>
    <w:rsid w:val="005C7725"/>
    <w:rsid w:val="005C77D8"/>
    <w:rsid w:val="005C7D8D"/>
    <w:rsid w:val="005D0E7F"/>
    <w:rsid w:val="005D13A3"/>
    <w:rsid w:val="005D13E5"/>
    <w:rsid w:val="005D1485"/>
    <w:rsid w:val="005D18B5"/>
    <w:rsid w:val="005D2E95"/>
    <w:rsid w:val="005D43F7"/>
    <w:rsid w:val="005D56C6"/>
    <w:rsid w:val="005D5A5B"/>
    <w:rsid w:val="005D6A9C"/>
    <w:rsid w:val="005D7628"/>
    <w:rsid w:val="005D7A63"/>
    <w:rsid w:val="005E02BD"/>
    <w:rsid w:val="005E04A0"/>
    <w:rsid w:val="005E092D"/>
    <w:rsid w:val="005E0B24"/>
    <w:rsid w:val="005E2623"/>
    <w:rsid w:val="005E390A"/>
    <w:rsid w:val="005E4234"/>
    <w:rsid w:val="005E4913"/>
    <w:rsid w:val="005E4AAF"/>
    <w:rsid w:val="005E626B"/>
    <w:rsid w:val="005E6DC8"/>
    <w:rsid w:val="005E717C"/>
    <w:rsid w:val="005E7F36"/>
    <w:rsid w:val="005F01F6"/>
    <w:rsid w:val="005F0974"/>
    <w:rsid w:val="005F0D6A"/>
    <w:rsid w:val="005F1842"/>
    <w:rsid w:val="005F2FCD"/>
    <w:rsid w:val="005F39CB"/>
    <w:rsid w:val="005F40AA"/>
    <w:rsid w:val="005F41A4"/>
    <w:rsid w:val="005F46E0"/>
    <w:rsid w:val="005F4DB7"/>
    <w:rsid w:val="005F5C25"/>
    <w:rsid w:val="005F5C3A"/>
    <w:rsid w:val="005F6404"/>
    <w:rsid w:val="005F6CCE"/>
    <w:rsid w:val="005F7926"/>
    <w:rsid w:val="006001B9"/>
    <w:rsid w:val="00600923"/>
    <w:rsid w:val="00601C06"/>
    <w:rsid w:val="006020C1"/>
    <w:rsid w:val="0060237A"/>
    <w:rsid w:val="006034C2"/>
    <w:rsid w:val="00603B63"/>
    <w:rsid w:val="006048AA"/>
    <w:rsid w:val="0060506C"/>
    <w:rsid w:val="0060522F"/>
    <w:rsid w:val="00606F7F"/>
    <w:rsid w:val="00607922"/>
    <w:rsid w:val="006109F2"/>
    <w:rsid w:val="006115DE"/>
    <w:rsid w:val="00611E37"/>
    <w:rsid w:val="00611E73"/>
    <w:rsid w:val="00612261"/>
    <w:rsid w:val="00612953"/>
    <w:rsid w:val="00612E54"/>
    <w:rsid w:val="00613646"/>
    <w:rsid w:val="00613747"/>
    <w:rsid w:val="0061451A"/>
    <w:rsid w:val="0061582E"/>
    <w:rsid w:val="0061611F"/>
    <w:rsid w:val="006163B1"/>
    <w:rsid w:val="00616F57"/>
    <w:rsid w:val="006177C6"/>
    <w:rsid w:val="00617FFD"/>
    <w:rsid w:val="0062045A"/>
    <w:rsid w:val="0062113E"/>
    <w:rsid w:val="00622552"/>
    <w:rsid w:val="00622A3C"/>
    <w:rsid w:val="0062314D"/>
    <w:rsid w:val="00624226"/>
    <w:rsid w:val="006249AB"/>
    <w:rsid w:val="00626AA5"/>
    <w:rsid w:val="00626E65"/>
    <w:rsid w:val="00630546"/>
    <w:rsid w:val="00630F3E"/>
    <w:rsid w:val="00631060"/>
    <w:rsid w:val="0063127D"/>
    <w:rsid w:val="006313B5"/>
    <w:rsid w:val="006335A4"/>
    <w:rsid w:val="006341FE"/>
    <w:rsid w:val="00634DC5"/>
    <w:rsid w:val="006358F2"/>
    <w:rsid w:val="006379CC"/>
    <w:rsid w:val="006379D9"/>
    <w:rsid w:val="00637C2E"/>
    <w:rsid w:val="00640184"/>
    <w:rsid w:val="006409EC"/>
    <w:rsid w:val="0064110E"/>
    <w:rsid w:val="00641A58"/>
    <w:rsid w:val="00641DD3"/>
    <w:rsid w:val="0064201F"/>
    <w:rsid w:val="00642128"/>
    <w:rsid w:val="0064486E"/>
    <w:rsid w:val="00645411"/>
    <w:rsid w:val="00645AAE"/>
    <w:rsid w:val="00645ABB"/>
    <w:rsid w:val="006465D6"/>
    <w:rsid w:val="00646F12"/>
    <w:rsid w:val="0064743D"/>
    <w:rsid w:val="006517FC"/>
    <w:rsid w:val="00653E6B"/>
    <w:rsid w:val="00653FB6"/>
    <w:rsid w:val="006549B9"/>
    <w:rsid w:val="00654F69"/>
    <w:rsid w:val="00656C9D"/>
    <w:rsid w:val="006575E0"/>
    <w:rsid w:val="0066063D"/>
    <w:rsid w:val="00661377"/>
    <w:rsid w:val="00661726"/>
    <w:rsid w:val="00661B76"/>
    <w:rsid w:val="0066218A"/>
    <w:rsid w:val="00662E2E"/>
    <w:rsid w:val="00663214"/>
    <w:rsid w:val="00663AC6"/>
    <w:rsid w:val="006645A1"/>
    <w:rsid w:val="00665334"/>
    <w:rsid w:val="00665940"/>
    <w:rsid w:val="00665A05"/>
    <w:rsid w:val="00667BF7"/>
    <w:rsid w:val="00670478"/>
    <w:rsid w:val="00670668"/>
    <w:rsid w:val="006709E8"/>
    <w:rsid w:val="00671114"/>
    <w:rsid w:val="00671846"/>
    <w:rsid w:val="00671CF8"/>
    <w:rsid w:val="00672030"/>
    <w:rsid w:val="00672031"/>
    <w:rsid w:val="006723EF"/>
    <w:rsid w:val="006741E6"/>
    <w:rsid w:val="00674FE2"/>
    <w:rsid w:val="006766D2"/>
    <w:rsid w:val="00676C53"/>
    <w:rsid w:val="00677044"/>
    <w:rsid w:val="006802E1"/>
    <w:rsid w:val="00680800"/>
    <w:rsid w:val="006811A2"/>
    <w:rsid w:val="006814BA"/>
    <w:rsid w:val="00681A32"/>
    <w:rsid w:val="0068263D"/>
    <w:rsid w:val="0068288E"/>
    <w:rsid w:val="00682EE1"/>
    <w:rsid w:val="0068394C"/>
    <w:rsid w:val="00684629"/>
    <w:rsid w:val="00685212"/>
    <w:rsid w:val="00686EB4"/>
    <w:rsid w:val="00686FE4"/>
    <w:rsid w:val="006900A6"/>
    <w:rsid w:val="00690304"/>
    <w:rsid w:val="006914F7"/>
    <w:rsid w:val="00692616"/>
    <w:rsid w:val="00692822"/>
    <w:rsid w:val="00692C4A"/>
    <w:rsid w:val="006933B6"/>
    <w:rsid w:val="00693C22"/>
    <w:rsid w:val="00693D18"/>
    <w:rsid w:val="006946E0"/>
    <w:rsid w:val="0069579F"/>
    <w:rsid w:val="00695AD4"/>
    <w:rsid w:val="00695E36"/>
    <w:rsid w:val="00696D84"/>
    <w:rsid w:val="00696EA2"/>
    <w:rsid w:val="0069729F"/>
    <w:rsid w:val="00697B25"/>
    <w:rsid w:val="00697D65"/>
    <w:rsid w:val="006A00E3"/>
    <w:rsid w:val="006A044B"/>
    <w:rsid w:val="006A081D"/>
    <w:rsid w:val="006A08DE"/>
    <w:rsid w:val="006A0B14"/>
    <w:rsid w:val="006A244B"/>
    <w:rsid w:val="006A2534"/>
    <w:rsid w:val="006A2C78"/>
    <w:rsid w:val="006A30FC"/>
    <w:rsid w:val="006A3128"/>
    <w:rsid w:val="006A39C8"/>
    <w:rsid w:val="006A3BFA"/>
    <w:rsid w:val="006A3EEB"/>
    <w:rsid w:val="006A4115"/>
    <w:rsid w:val="006A4664"/>
    <w:rsid w:val="006A6179"/>
    <w:rsid w:val="006A62B8"/>
    <w:rsid w:val="006A6B29"/>
    <w:rsid w:val="006A75A6"/>
    <w:rsid w:val="006B1316"/>
    <w:rsid w:val="006B20DE"/>
    <w:rsid w:val="006B26A4"/>
    <w:rsid w:val="006B2C86"/>
    <w:rsid w:val="006B300F"/>
    <w:rsid w:val="006B3022"/>
    <w:rsid w:val="006B3418"/>
    <w:rsid w:val="006B3AB4"/>
    <w:rsid w:val="006B3BB2"/>
    <w:rsid w:val="006B4D79"/>
    <w:rsid w:val="006B5401"/>
    <w:rsid w:val="006B548B"/>
    <w:rsid w:val="006B66F4"/>
    <w:rsid w:val="006B7743"/>
    <w:rsid w:val="006C0C3A"/>
    <w:rsid w:val="006C19B9"/>
    <w:rsid w:val="006C29F4"/>
    <w:rsid w:val="006C3210"/>
    <w:rsid w:val="006C3720"/>
    <w:rsid w:val="006C3BFF"/>
    <w:rsid w:val="006C3F55"/>
    <w:rsid w:val="006C40A2"/>
    <w:rsid w:val="006C4DF8"/>
    <w:rsid w:val="006C5D9E"/>
    <w:rsid w:val="006C618B"/>
    <w:rsid w:val="006C699C"/>
    <w:rsid w:val="006C6A5F"/>
    <w:rsid w:val="006C70CD"/>
    <w:rsid w:val="006D04E5"/>
    <w:rsid w:val="006D04E6"/>
    <w:rsid w:val="006D08BA"/>
    <w:rsid w:val="006D0AFC"/>
    <w:rsid w:val="006D0DF8"/>
    <w:rsid w:val="006D1A31"/>
    <w:rsid w:val="006D34B2"/>
    <w:rsid w:val="006D53BB"/>
    <w:rsid w:val="006D5B6D"/>
    <w:rsid w:val="006D5FAC"/>
    <w:rsid w:val="006D6079"/>
    <w:rsid w:val="006D677D"/>
    <w:rsid w:val="006D6843"/>
    <w:rsid w:val="006D6967"/>
    <w:rsid w:val="006D69A6"/>
    <w:rsid w:val="006D6DC7"/>
    <w:rsid w:val="006D720E"/>
    <w:rsid w:val="006E06CE"/>
    <w:rsid w:val="006E0A72"/>
    <w:rsid w:val="006E1504"/>
    <w:rsid w:val="006E2521"/>
    <w:rsid w:val="006E2535"/>
    <w:rsid w:val="006E27E4"/>
    <w:rsid w:val="006E3256"/>
    <w:rsid w:val="006E38A1"/>
    <w:rsid w:val="006E3D06"/>
    <w:rsid w:val="006E3FF5"/>
    <w:rsid w:val="006E5E31"/>
    <w:rsid w:val="006E6704"/>
    <w:rsid w:val="006E6B6A"/>
    <w:rsid w:val="006E6BD7"/>
    <w:rsid w:val="006E6C44"/>
    <w:rsid w:val="006E6C8B"/>
    <w:rsid w:val="006E7227"/>
    <w:rsid w:val="006E79D9"/>
    <w:rsid w:val="006E7C1B"/>
    <w:rsid w:val="006F1C80"/>
    <w:rsid w:val="006F20F7"/>
    <w:rsid w:val="006F4621"/>
    <w:rsid w:val="006F4A84"/>
    <w:rsid w:val="006F5486"/>
    <w:rsid w:val="006F57E5"/>
    <w:rsid w:val="006F64CB"/>
    <w:rsid w:val="006F6D8D"/>
    <w:rsid w:val="006F7A1B"/>
    <w:rsid w:val="006F7BDC"/>
    <w:rsid w:val="0070062E"/>
    <w:rsid w:val="007007B2"/>
    <w:rsid w:val="00700A33"/>
    <w:rsid w:val="00700ABA"/>
    <w:rsid w:val="007018CE"/>
    <w:rsid w:val="00701EED"/>
    <w:rsid w:val="0070261B"/>
    <w:rsid w:val="00702DE7"/>
    <w:rsid w:val="007033D3"/>
    <w:rsid w:val="00703DE4"/>
    <w:rsid w:val="00705764"/>
    <w:rsid w:val="00705C6C"/>
    <w:rsid w:val="0071044F"/>
    <w:rsid w:val="007105E5"/>
    <w:rsid w:val="007111B1"/>
    <w:rsid w:val="0071139B"/>
    <w:rsid w:val="007115C2"/>
    <w:rsid w:val="0071214C"/>
    <w:rsid w:val="00712E2F"/>
    <w:rsid w:val="00714302"/>
    <w:rsid w:val="0071552E"/>
    <w:rsid w:val="0071593D"/>
    <w:rsid w:val="00715F9B"/>
    <w:rsid w:val="0071698A"/>
    <w:rsid w:val="0071737A"/>
    <w:rsid w:val="007178EA"/>
    <w:rsid w:val="00717EA1"/>
    <w:rsid w:val="00717F28"/>
    <w:rsid w:val="00720B6F"/>
    <w:rsid w:val="00721042"/>
    <w:rsid w:val="0072127F"/>
    <w:rsid w:val="007230C2"/>
    <w:rsid w:val="0072441A"/>
    <w:rsid w:val="00724815"/>
    <w:rsid w:val="007249B4"/>
    <w:rsid w:val="00725BBB"/>
    <w:rsid w:val="00725CA4"/>
    <w:rsid w:val="00726E83"/>
    <w:rsid w:val="00726EE1"/>
    <w:rsid w:val="00730967"/>
    <w:rsid w:val="00730C44"/>
    <w:rsid w:val="00730FE0"/>
    <w:rsid w:val="007314AC"/>
    <w:rsid w:val="00731E26"/>
    <w:rsid w:val="00732745"/>
    <w:rsid w:val="00733291"/>
    <w:rsid w:val="0073330C"/>
    <w:rsid w:val="007337C0"/>
    <w:rsid w:val="0073439A"/>
    <w:rsid w:val="00734AE8"/>
    <w:rsid w:val="00735CA5"/>
    <w:rsid w:val="00735F9E"/>
    <w:rsid w:val="00736144"/>
    <w:rsid w:val="00736325"/>
    <w:rsid w:val="00737A83"/>
    <w:rsid w:val="007402FF"/>
    <w:rsid w:val="00741055"/>
    <w:rsid w:val="00741370"/>
    <w:rsid w:val="00742451"/>
    <w:rsid w:val="0074271C"/>
    <w:rsid w:val="007432C4"/>
    <w:rsid w:val="00743604"/>
    <w:rsid w:val="00743C4B"/>
    <w:rsid w:val="00744442"/>
    <w:rsid w:val="007446A1"/>
    <w:rsid w:val="00744C54"/>
    <w:rsid w:val="00745157"/>
    <w:rsid w:val="00745B10"/>
    <w:rsid w:val="007508A0"/>
    <w:rsid w:val="00750D11"/>
    <w:rsid w:val="00752BE8"/>
    <w:rsid w:val="00752FE0"/>
    <w:rsid w:val="00753217"/>
    <w:rsid w:val="00755149"/>
    <w:rsid w:val="00757625"/>
    <w:rsid w:val="007579C0"/>
    <w:rsid w:val="007609EF"/>
    <w:rsid w:val="00760EB7"/>
    <w:rsid w:val="007616B6"/>
    <w:rsid w:val="00761F0A"/>
    <w:rsid w:val="00764E55"/>
    <w:rsid w:val="00764EAB"/>
    <w:rsid w:val="007651F7"/>
    <w:rsid w:val="00765699"/>
    <w:rsid w:val="0076575E"/>
    <w:rsid w:val="00765761"/>
    <w:rsid w:val="00765D54"/>
    <w:rsid w:val="0076747F"/>
    <w:rsid w:val="00767529"/>
    <w:rsid w:val="00767902"/>
    <w:rsid w:val="00770325"/>
    <w:rsid w:val="0077071C"/>
    <w:rsid w:val="00771BAA"/>
    <w:rsid w:val="00771DEF"/>
    <w:rsid w:val="00773C1A"/>
    <w:rsid w:val="00774ABE"/>
    <w:rsid w:val="00775898"/>
    <w:rsid w:val="00775C26"/>
    <w:rsid w:val="0077616C"/>
    <w:rsid w:val="00776CE9"/>
    <w:rsid w:val="00777395"/>
    <w:rsid w:val="0077775E"/>
    <w:rsid w:val="00780B9D"/>
    <w:rsid w:val="00780CCC"/>
    <w:rsid w:val="00781A6F"/>
    <w:rsid w:val="00781B70"/>
    <w:rsid w:val="00781E6D"/>
    <w:rsid w:val="007855C5"/>
    <w:rsid w:val="00786204"/>
    <w:rsid w:val="007868A7"/>
    <w:rsid w:val="00786E1C"/>
    <w:rsid w:val="00787157"/>
    <w:rsid w:val="00787D96"/>
    <w:rsid w:val="00790BF2"/>
    <w:rsid w:val="00791F24"/>
    <w:rsid w:val="00791FE5"/>
    <w:rsid w:val="0079277A"/>
    <w:rsid w:val="007929F7"/>
    <w:rsid w:val="00792DD8"/>
    <w:rsid w:val="00792F2C"/>
    <w:rsid w:val="0079331D"/>
    <w:rsid w:val="007939F2"/>
    <w:rsid w:val="00793C37"/>
    <w:rsid w:val="007948C6"/>
    <w:rsid w:val="0079532A"/>
    <w:rsid w:val="00795368"/>
    <w:rsid w:val="007955E8"/>
    <w:rsid w:val="00795B09"/>
    <w:rsid w:val="00796543"/>
    <w:rsid w:val="0079664A"/>
    <w:rsid w:val="00796AAB"/>
    <w:rsid w:val="00796BBE"/>
    <w:rsid w:val="0079750F"/>
    <w:rsid w:val="007979E7"/>
    <w:rsid w:val="00797C3D"/>
    <w:rsid w:val="007A0586"/>
    <w:rsid w:val="007A0F6D"/>
    <w:rsid w:val="007A1251"/>
    <w:rsid w:val="007A16CD"/>
    <w:rsid w:val="007A1BA2"/>
    <w:rsid w:val="007A1C0F"/>
    <w:rsid w:val="007A1DEF"/>
    <w:rsid w:val="007A1ECB"/>
    <w:rsid w:val="007A255D"/>
    <w:rsid w:val="007A2AA1"/>
    <w:rsid w:val="007A2C7A"/>
    <w:rsid w:val="007A36CB"/>
    <w:rsid w:val="007A4731"/>
    <w:rsid w:val="007A57A3"/>
    <w:rsid w:val="007A6ED6"/>
    <w:rsid w:val="007A742E"/>
    <w:rsid w:val="007B13AA"/>
    <w:rsid w:val="007B1DF2"/>
    <w:rsid w:val="007B21EE"/>
    <w:rsid w:val="007B3FC8"/>
    <w:rsid w:val="007B4953"/>
    <w:rsid w:val="007B62C1"/>
    <w:rsid w:val="007B63BF"/>
    <w:rsid w:val="007B775A"/>
    <w:rsid w:val="007C0130"/>
    <w:rsid w:val="007C03BD"/>
    <w:rsid w:val="007C056A"/>
    <w:rsid w:val="007C0606"/>
    <w:rsid w:val="007C14FB"/>
    <w:rsid w:val="007C1D6D"/>
    <w:rsid w:val="007C38F3"/>
    <w:rsid w:val="007C3A89"/>
    <w:rsid w:val="007C432C"/>
    <w:rsid w:val="007C4355"/>
    <w:rsid w:val="007C57E9"/>
    <w:rsid w:val="007C684C"/>
    <w:rsid w:val="007C76F6"/>
    <w:rsid w:val="007C79EF"/>
    <w:rsid w:val="007C7F28"/>
    <w:rsid w:val="007D0661"/>
    <w:rsid w:val="007D0C99"/>
    <w:rsid w:val="007D15EE"/>
    <w:rsid w:val="007D23FF"/>
    <w:rsid w:val="007D25EB"/>
    <w:rsid w:val="007D2A95"/>
    <w:rsid w:val="007D3375"/>
    <w:rsid w:val="007D4B05"/>
    <w:rsid w:val="007D4C50"/>
    <w:rsid w:val="007D4FEA"/>
    <w:rsid w:val="007D62F7"/>
    <w:rsid w:val="007D63C6"/>
    <w:rsid w:val="007D6C40"/>
    <w:rsid w:val="007D713B"/>
    <w:rsid w:val="007E07FE"/>
    <w:rsid w:val="007E1A38"/>
    <w:rsid w:val="007E1C42"/>
    <w:rsid w:val="007E1F8B"/>
    <w:rsid w:val="007E1FF1"/>
    <w:rsid w:val="007E2769"/>
    <w:rsid w:val="007E3768"/>
    <w:rsid w:val="007E4990"/>
    <w:rsid w:val="007E4FD9"/>
    <w:rsid w:val="007E5080"/>
    <w:rsid w:val="007E56D6"/>
    <w:rsid w:val="007E5B5F"/>
    <w:rsid w:val="007E7718"/>
    <w:rsid w:val="007E7E25"/>
    <w:rsid w:val="007F0B36"/>
    <w:rsid w:val="007F1623"/>
    <w:rsid w:val="007F286F"/>
    <w:rsid w:val="007F304F"/>
    <w:rsid w:val="007F3498"/>
    <w:rsid w:val="007F35A0"/>
    <w:rsid w:val="007F465F"/>
    <w:rsid w:val="00800296"/>
    <w:rsid w:val="008006B4"/>
    <w:rsid w:val="00800BD4"/>
    <w:rsid w:val="00800D06"/>
    <w:rsid w:val="00801D99"/>
    <w:rsid w:val="008034C4"/>
    <w:rsid w:val="00803677"/>
    <w:rsid w:val="00803866"/>
    <w:rsid w:val="00805056"/>
    <w:rsid w:val="00805293"/>
    <w:rsid w:val="00806767"/>
    <w:rsid w:val="008067CF"/>
    <w:rsid w:val="00806D67"/>
    <w:rsid w:val="00807C2D"/>
    <w:rsid w:val="0081012B"/>
    <w:rsid w:val="0081024D"/>
    <w:rsid w:val="00810344"/>
    <w:rsid w:val="00810842"/>
    <w:rsid w:val="00812032"/>
    <w:rsid w:val="00813123"/>
    <w:rsid w:val="00814C17"/>
    <w:rsid w:val="00817376"/>
    <w:rsid w:val="00822835"/>
    <w:rsid w:val="00822983"/>
    <w:rsid w:val="008235A8"/>
    <w:rsid w:val="00823A4B"/>
    <w:rsid w:val="00824692"/>
    <w:rsid w:val="00824F11"/>
    <w:rsid w:val="00826805"/>
    <w:rsid w:val="008268D8"/>
    <w:rsid w:val="00826F39"/>
    <w:rsid w:val="0082704D"/>
    <w:rsid w:val="008275F3"/>
    <w:rsid w:val="008277CA"/>
    <w:rsid w:val="008304E8"/>
    <w:rsid w:val="00830C77"/>
    <w:rsid w:val="00831604"/>
    <w:rsid w:val="008319C7"/>
    <w:rsid w:val="00831F23"/>
    <w:rsid w:val="00832853"/>
    <w:rsid w:val="0083331E"/>
    <w:rsid w:val="00834A2E"/>
    <w:rsid w:val="00835380"/>
    <w:rsid w:val="00836B38"/>
    <w:rsid w:val="00836DA6"/>
    <w:rsid w:val="0083754F"/>
    <w:rsid w:val="008405CF"/>
    <w:rsid w:val="00841228"/>
    <w:rsid w:val="0084159E"/>
    <w:rsid w:val="008433A5"/>
    <w:rsid w:val="00844DD3"/>
    <w:rsid w:val="00845E01"/>
    <w:rsid w:val="00846436"/>
    <w:rsid w:val="008464DE"/>
    <w:rsid w:val="00846885"/>
    <w:rsid w:val="00846E23"/>
    <w:rsid w:val="00847C1E"/>
    <w:rsid w:val="00847CC4"/>
    <w:rsid w:val="0085022F"/>
    <w:rsid w:val="00851C5E"/>
    <w:rsid w:val="008538AC"/>
    <w:rsid w:val="00853D98"/>
    <w:rsid w:val="00853F2C"/>
    <w:rsid w:val="00854E9E"/>
    <w:rsid w:val="00855D06"/>
    <w:rsid w:val="008560AD"/>
    <w:rsid w:val="00856255"/>
    <w:rsid w:val="00857BF4"/>
    <w:rsid w:val="008609C7"/>
    <w:rsid w:val="00861119"/>
    <w:rsid w:val="008615EF"/>
    <w:rsid w:val="008625A6"/>
    <w:rsid w:val="00862744"/>
    <w:rsid w:val="00862B43"/>
    <w:rsid w:val="00862BF0"/>
    <w:rsid w:val="00863799"/>
    <w:rsid w:val="008642B6"/>
    <w:rsid w:val="00866076"/>
    <w:rsid w:val="00866118"/>
    <w:rsid w:val="00870569"/>
    <w:rsid w:val="0087074B"/>
    <w:rsid w:val="00871C4B"/>
    <w:rsid w:val="00871CE4"/>
    <w:rsid w:val="008734F7"/>
    <w:rsid w:val="00874A5C"/>
    <w:rsid w:val="00874BD9"/>
    <w:rsid w:val="008750F8"/>
    <w:rsid w:val="008758EB"/>
    <w:rsid w:val="00877B14"/>
    <w:rsid w:val="00877F98"/>
    <w:rsid w:val="0088023C"/>
    <w:rsid w:val="008819C1"/>
    <w:rsid w:val="00881EBE"/>
    <w:rsid w:val="00882420"/>
    <w:rsid w:val="0088267C"/>
    <w:rsid w:val="00882765"/>
    <w:rsid w:val="008827F8"/>
    <w:rsid w:val="00883E05"/>
    <w:rsid w:val="00884A18"/>
    <w:rsid w:val="00884DB6"/>
    <w:rsid w:val="00886CF4"/>
    <w:rsid w:val="00887537"/>
    <w:rsid w:val="00887FE1"/>
    <w:rsid w:val="00891246"/>
    <w:rsid w:val="00891748"/>
    <w:rsid w:val="00891DF7"/>
    <w:rsid w:val="008922FA"/>
    <w:rsid w:val="00892B7C"/>
    <w:rsid w:val="00893CCB"/>
    <w:rsid w:val="00895BE9"/>
    <w:rsid w:val="00895E45"/>
    <w:rsid w:val="00896068"/>
    <w:rsid w:val="00897276"/>
    <w:rsid w:val="008A0326"/>
    <w:rsid w:val="008A0F73"/>
    <w:rsid w:val="008A1120"/>
    <w:rsid w:val="008A39CA"/>
    <w:rsid w:val="008A4823"/>
    <w:rsid w:val="008A4CB6"/>
    <w:rsid w:val="008A59C7"/>
    <w:rsid w:val="008A5EF4"/>
    <w:rsid w:val="008A602C"/>
    <w:rsid w:val="008A6794"/>
    <w:rsid w:val="008A7101"/>
    <w:rsid w:val="008A7AC7"/>
    <w:rsid w:val="008B12CB"/>
    <w:rsid w:val="008B17E8"/>
    <w:rsid w:val="008B1BC6"/>
    <w:rsid w:val="008B1C62"/>
    <w:rsid w:val="008B2B10"/>
    <w:rsid w:val="008B35FB"/>
    <w:rsid w:val="008B3C5A"/>
    <w:rsid w:val="008B4C65"/>
    <w:rsid w:val="008B65B1"/>
    <w:rsid w:val="008B6810"/>
    <w:rsid w:val="008B684C"/>
    <w:rsid w:val="008B6D0B"/>
    <w:rsid w:val="008C27EB"/>
    <w:rsid w:val="008C318B"/>
    <w:rsid w:val="008C3412"/>
    <w:rsid w:val="008C3602"/>
    <w:rsid w:val="008C36E6"/>
    <w:rsid w:val="008C392F"/>
    <w:rsid w:val="008C3B57"/>
    <w:rsid w:val="008C42B6"/>
    <w:rsid w:val="008C581A"/>
    <w:rsid w:val="008C5A1F"/>
    <w:rsid w:val="008C5BCA"/>
    <w:rsid w:val="008C67D3"/>
    <w:rsid w:val="008C6E73"/>
    <w:rsid w:val="008C792C"/>
    <w:rsid w:val="008C7F2D"/>
    <w:rsid w:val="008D00E2"/>
    <w:rsid w:val="008D0423"/>
    <w:rsid w:val="008D06D1"/>
    <w:rsid w:val="008D0D8F"/>
    <w:rsid w:val="008D0F6E"/>
    <w:rsid w:val="008D1115"/>
    <w:rsid w:val="008D3545"/>
    <w:rsid w:val="008D38E1"/>
    <w:rsid w:val="008D4B5E"/>
    <w:rsid w:val="008D5DA9"/>
    <w:rsid w:val="008D6CBD"/>
    <w:rsid w:val="008D6ECB"/>
    <w:rsid w:val="008D772E"/>
    <w:rsid w:val="008D78A6"/>
    <w:rsid w:val="008E01DF"/>
    <w:rsid w:val="008E0BD4"/>
    <w:rsid w:val="008E1422"/>
    <w:rsid w:val="008E1AAD"/>
    <w:rsid w:val="008E220F"/>
    <w:rsid w:val="008E230B"/>
    <w:rsid w:val="008E2917"/>
    <w:rsid w:val="008E2F67"/>
    <w:rsid w:val="008E36B8"/>
    <w:rsid w:val="008E389A"/>
    <w:rsid w:val="008E3B5B"/>
    <w:rsid w:val="008E3E13"/>
    <w:rsid w:val="008E556E"/>
    <w:rsid w:val="008E63E1"/>
    <w:rsid w:val="008E6620"/>
    <w:rsid w:val="008E6690"/>
    <w:rsid w:val="008E738A"/>
    <w:rsid w:val="008F0380"/>
    <w:rsid w:val="008F0906"/>
    <w:rsid w:val="008F13D9"/>
    <w:rsid w:val="008F14A6"/>
    <w:rsid w:val="008F1C5D"/>
    <w:rsid w:val="008F314A"/>
    <w:rsid w:val="008F35B0"/>
    <w:rsid w:val="008F3639"/>
    <w:rsid w:val="008F3A20"/>
    <w:rsid w:val="008F3ACE"/>
    <w:rsid w:val="008F4526"/>
    <w:rsid w:val="008F4C2A"/>
    <w:rsid w:val="008F508C"/>
    <w:rsid w:val="008F57B0"/>
    <w:rsid w:val="008F589D"/>
    <w:rsid w:val="008F5B2F"/>
    <w:rsid w:val="008F67A1"/>
    <w:rsid w:val="008F6A7F"/>
    <w:rsid w:val="008F6BDF"/>
    <w:rsid w:val="008F79F1"/>
    <w:rsid w:val="009052E2"/>
    <w:rsid w:val="00907D3D"/>
    <w:rsid w:val="0091068D"/>
    <w:rsid w:val="00910A05"/>
    <w:rsid w:val="00910AD1"/>
    <w:rsid w:val="00910E88"/>
    <w:rsid w:val="00911E25"/>
    <w:rsid w:val="00912BC9"/>
    <w:rsid w:val="00912E03"/>
    <w:rsid w:val="009143DE"/>
    <w:rsid w:val="009145F9"/>
    <w:rsid w:val="00914C14"/>
    <w:rsid w:val="00915C5A"/>
    <w:rsid w:val="00915EB3"/>
    <w:rsid w:val="009162D1"/>
    <w:rsid w:val="009171A3"/>
    <w:rsid w:val="0091740E"/>
    <w:rsid w:val="00917536"/>
    <w:rsid w:val="00917C4A"/>
    <w:rsid w:val="00917E16"/>
    <w:rsid w:val="0092106E"/>
    <w:rsid w:val="00921293"/>
    <w:rsid w:val="009216DD"/>
    <w:rsid w:val="009232FC"/>
    <w:rsid w:val="0092554D"/>
    <w:rsid w:val="009261C7"/>
    <w:rsid w:val="00926B7B"/>
    <w:rsid w:val="00926B89"/>
    <w:rsid w:val="00927AE3"/>
    <w:rsid w:val="0093216E"/>
    <w:rsid w:val="00932A50"/>
    <w:rsid w:val="00932E6A"/>
    <w:rsid w:val="009337AE"/>
    <w:rsid w:val="00934327"/>
    <w:rsid w:val="0093476D"/>
    <w:rsid w:val="00935E7B"/>
    <w:rsid w:val="00935FB2"/>
    <w:rsid w:val="00936394"/>
    <w:rsid w:val="00936A25"/>
    <w:rsid w:val="00936F1C"/>
    <w:rsid w:val="009377FB"/>
    <w:rsid w:val="00937B44"/>
    <w:rsid w:val="00937B6B"/>
    <w:rsid w:val="00937C3E"/>
    <w:rsid w:val="009404E3"/>
    <w:rsid w:val="0094155A"/>
    <w:rsid w:val="0094175A"/>
    <w:rsid w:val="00942A82"/>
    <w:rsid w:val="00942BE9"/>
    <w:rsid w:val="00942DE1"/>
    <w:rsid w:val="00943659"/>
    <w:rsid w:val="00944557"/>
    <w:rsid w:val="009448BB"/>
    <w:rsid w:val="0094490B"/>
    <w:rsid w:val="009453E9"/>
    <w:rsid w:val="00945404"/>
    <w:rsid w:val="00945877"/>
    <w:rsid w:val="009470CE"/>
    <w:rsid w:val="009474C8"/>
    <w:rsid w:val="0094761F"/>
    <w:rsid w:val="009503D8"/>
    <w:rsid w:val="009505C3"/>
    <w:rsid w:val="009508E7"/>
    <w:rsid w:val="00950BE0"/>
    <w:rsid w:val="00950D91"/>
    <w:rsid w:val="00951ADF"/>
    <w:rsid w:val="00951E3E"/>
    <w:rsid w:val="009521A4"/>
    <w:rsid w:val="009523B6"/>
    <w:rsid w:val="00953030"/>
    <w:rsid w:val="009533C4"/>
    <w:rsid w:val="00953C13"/>
    <w:rsid w:val="00953CEE"/>
    <w:rsid w:val="009544BE"/>
    <w:rsid w:val="00954536"/>
    <w:rsid w:val="00954E82"/>
    <w:rsid w:val="00954FFD"/>
    <w:rsid w:val="00955475"/>
    <w:rsid w:val="00955AAD"/>
    <w:rsid w:val="009560EE"/>
    <w:rsid w:val="00956547"/>
    <w:rsid w:val="00956E25"/>
    <w:rsid w:val="0095701A"/>
    <w:rsid w:val="00961422"/>
    <w:rsid w:val="00961508"/>
    <w:rsid w:val="0096182C"/>
    <w:rsid w:val="009636F4"/>
    <w:rsid w:val="0096428A"/>
    <w:rsid w:val="00964E8A"/>
    <w:rsid w:val="0096541E"/>
    <w:rsid w:val="0096585C"/>
    <w:rsid w:val="009658C7"/>
    <w:rsid w:val="00966338"/>
    <w:rsid w:val="009664B9"/>
    <w:rsid w:val="00967150"/>
    <w:rsid w:val="00967438"/>
    <w:rsid w:val="00970227"/>
    <w:rsid w:val="009708CC"/>
    <w:rsid w:val="00970D5A"/>
    <w:rsid w:val="00971341"/>
    <w:rsid w:val="009729F4"/>
    <w:rsid w:val="009734EF"/>
    <w:rsid w:val="00973558"/>
    <w:rsid w:val="009740CE"/>
    <w:rsid w:val="00974E13"/>
    <w:rsid w:val="00974FCA"/>
    <w:rsid w:val="00975F1F"/>
    <w:rsid w:val="00975F7F"/>
    <w:rsid w:val="009760C6"/>
    <w:rsid w:val="009768DE"/>
    <w:rsid w:val="009779FA"/>
    <w:rsid w:val="00977CB9"/>
    <w:rsid w:val="00977FDA"/>
    <w:rsid w:val="0098044D"/>
    <w:rsid w:val="00980B48"/>
    <w:rsid w:val="00981A78"/>
    <w:rsid w:val="009826C6"/>
    <w:rsid w:val="009840B4"/>
    <w:rsid w:val="00984903"/>
    <w:rsid w:val="00985012"/>
    <w:rsid w:val="00985149"/>
    <w:rsid w:val="00985C0D"/>
    <w:rsid w:val="00985DB0"/>
    <w:rsid w:val="00985EE8"/>
    <w:rsid w:val="009860E7"/>
    <w:rsid w:val="009865E9"/>
    <w:rsid w:val="00987D26"/>
    <w:rsid w:val="009901CF"/>
    <w:rsid w:val="0099056A"/>
    <w:rsid w:val="00991785"/>
    <w:rsid w:val="00992AA9"/>
    <w:rsid w:val="009939B5"/>
    <w:rsid w:val="00993CB9"/>
    <w:rsid w:val="009942FF"/>
    <w:rsid w:val="00994389"/>
    <w:rsid w:val="009943A8"/>
    <w:rsid w:val="00994DEE"/>
    <w:rsid w:val="00995559"/>
    <w:rsid w:val="00995869"/>
    <w:rsid w:val="00995BFE"/>
    <w:rsid w:val="0099640E"/>
    <w:rsid w:val="00996B28"/>
    <w:rsid w:val="00996D1D"/>
    <w:rsid w:val="009970CF"/>
    <w:rsid w:val="009A0F0B"/>
    <w:rsid w:val="009A12E2"/>
    <w:rsid w:val="009A135E"/>
    <w:rsid w:val="009A1A96"/>
    <w:rsid w:val="009A1C61"/>
    <w:rsid w:val="009A1E9E"/>
    <w:rsid w:val="009A20CB"/>
    <w:rsid w:val="009A25F8"/>
    <w:rsid w:val="009A2A8A"/>
    <w:rsid w:val="009A4044"/>
    <w:rsid w:val="009A4D53"/>
    <w:rsid w:val="009A6669"/>
    <w:rsid w:val="009A6A4B"/>
    <w:rsid w:val="009A6CC4"/>
    <w:rsid w:val="009B0075"/>
    <w:rsid w:val="009B0B1B"/>
    <w:rsid w:val="009B1009"/>
    <w:rsid w:val="009B2EA9"/>
    <w:rsid w:val="009B33CA"/>
    <w:rsid w:val="009B374A"/>
    <w:rsid w:val="009B377A"/>
    <w:rsid w:val="009B40A2"/>
    <w:rsid w:val="009B49DE"/>
    <w:rsid w:val="009B4EB5"/>
    <w:rsid w:val="009B573D"/>
    <w:rsid w:val="009B5B56"/>
    <w:rsid w:val="009B66C7"/>
    <w:rsid w:val="009B7AEF"/>
    <w:rsid w:val="009B7DE3"/>
    <w:rsid w:val="009C0EEA"/>
    <w:rsid w:val="009C1CCE"/>
    <w:rsid w:val="009C2518"/>
    <w:rsid w:val="009C2910"/>
    <w:rsid w:val="009C30EC"/>
    <w:rsid w:val="009C3C90"/>
    <w:rsid w:val="009C431C"/>
    <w:rsid w:val="009C44C5"/>
    <w:rsid w:val="009C46DA"/>
    <w:rsid w:val="009C4E25"/>
    <w:rsid w:val="009C5340"/>
    <w:rsid w:val="009C534A"/>
    <w:rsid w:val="009C57EB"/>
    <w:rsid w:val="009C5B33"/>
    <w:rsid w:val="009C68E6"/>
    <w:rsid w:val="009C7C60"/>
    <w:rsid w:val="009C7D78"/>
    <w:rsid w:val="009C7E1F"/>
    <w:rsid w:val="009D0A87"/>
    <w:rsid w:val="009D157D"/>
    <w:rsid w:val="009D1745"/>
    <w:rsid w:val="009D1AA8"/>
    <w:rsid w:val="009D1D2E"/>
    <w:rsid w:val="009D228A"/>
    <w:rsid w:val="009D26F0"/>
    <w:rsid w:val="009D3287"/>
    <w:rsid w:val="009D32AB"/>
    <w:rsid w:val="009D377D"/>
    <w:rsid w:val="009D3C2D"/>
    <w:rsid w:val="009D3D7D"/>
    <w:rsid w:val="009D404D"/>
    <w:rsid w:val="009D4099"/>
    <w:rsid w:val="009D4152"/>
    <w:rsid w:val="009D47E9"/>
    <w:rsid w:val="009D4FC0"/>
    <w:rsid w:val="009D5E22"/>
    <w:rsid w:val="009D6155"/>
    <w:rsid w:val="009D7659"/>
    <w:rsid w:val="009E0544"/>
    <w:rsid w:val="009E219B"/>
    <w:rsid w:val="009E2A05"/>
    <w:rsid w:val="009E4124"/>
    <w:rsid w:val="009E44C4"/>
    <w:rsid w:val="009E47F4"/>
    <w:rsid w:val="009E483D"/>
    <w:rsid w:val="009E489A"/>
    <w:rsid w:val="009E4B86"/>
    <w:rsid w:val="009E52CB"/>
    <w:rsid w:val="009E5F7A"/>
    <w:rsid w:val="009E6584"/>
    <w:rsid w:val="009E6D2B"/>
    <w:rsid w:val="009E6E4A"/>
    <w:rsid w:val="009F0E17"/>
    <w:rsid w:val="009F18A4"/>
    <w:rsid w:val="009F246A"/>
    <w:rsid w:val="009F2E25"/>
    <w:rsid w:val="009F3BF9"/>
    <w:rsid w:val="009F46BC"/>
    <w:rsid w:val="009F499B"/>
    <w:rsid w:val="009F4E0F"/>
    <w:rsid w:val="009F56DE"/>
    <w:rsid w:val="009F57ED"/>
    <w:rsid w:val="009F5AA6"/>
    <w:rsid w:val="009F71FA"/>
    <w:rsid w:val="009F7802"/>
    <w:rsid w:val="009F780F"/>
    <w:rsid w:val="00A0038B"/>
    <w:rsid w:val="00A00E26"/>
    <w:rsid w:val="00A03A28"/>
    <w:rsid w:val="00A03DB1"/>
    <w:rsid w:val="00A04D9D"/>
    <w:rsid w:val="00A04DB8"/>
    <w:rsid w:val="00A052EE"/>
    <w:rsid w:val="00A05324"/>
    <w:rsid w:val="00A05D9C"/>
    <w:rsid w:val="00A06067"/>
    <w:rsid w:val="00A06209"/>
    <w:rsid w:val="00A07343"/>
    <w:rsid w:val="00A073A7"/>
    <w:rsid w:val="00A07BCE"/>
    <w:rsid w:val="00A07ED6"/>
    <w:rsid w:val="00A10334"/>
    <w:rsid w:val="00A1180F"/>
    <w:rsid w:val="00A1191F"/>
    <w:rsid w:val="00A11951"/>
    <w:rsid w:val="00A1211B"/>
    <w:rsid w:val="00A12476"/>
    <w:rsid w:val="00A128BB"/>
    <w:rsid w:val="00A13634"/>
    <w:rsid w:val="00A13762"/>
    <w:rsid w:val="00A13984"/>
    <w:rsid w:val="00A1413F"/>
    <w:rsid w:val="00A144C6"/>
    <w:rsid w:val="00A150E5"/>
    <w:rsid w:val="00A15B53"/>
    <w:rsid w:val="00A16BDE"/>
    <w:rsid w:val="00A176C9"/>
    <w:rsid w:val="00A20D25"/>
    <w:rsid w:val="00A21BAD"/>
    <w:rsid w:val="00A21C42"/>
    <w:rsid w:val="00A224BB"/>
    <w:rsid w:val="00A227B0"/>
    <w:rsid w:val="00A22A86"/>
    <w:rsid w:val="00A233B0"/>
    <w:rsid w:val="00A23819"/>
    <w:rsid w:val="00A25E5C"/>
    <w:rsid w:val="00A25EC9"/>
    <w:rsid w:val="00A26652"/>
    <w:rsid w:val="00A26C97"/>
    <w:rsid w:val="00A26F9F"/>
    <w:rsid w:val="00A27BB9"/>
    <w:rsid w:val="00A30122"/>
    <w:rsid w:val="00A32741"/>
    <w:rsid w:val="00A33D33"/>
    <w:rsid w:val="00A34290"/>
    <w:rsid w:val="00A342C0"/>
    <w:rsid w:val="00A34388"/>
    <w:rsid w:val="00A34A90"/>
    <w:rsid w:val="00A35521"/>
    <w:rsid w:val="00A36B8E"/>
    <w:rsid w:val="00A36B91"/>
    <w:rsid w:val="00A3712F"/>
    <w:rsid w:val="00A37A4F"/>
    <w:rsid w:val="00A40A4F"/>
    <w:rsid w:val="00A417BD"/>
    <w:rsid w:val="00A42DDC"/>
    <w:rsid w:val="00A42FA3"/>
    <w:rsid w:val="00A43570"/>
    <w:rsid w:val="00A43E4B"/>
    <w:rsid w:val="00A43EF3"/>
    <w:rsid w:val="00A45319"/>
    <w:rsid w:val="00A453AE"/>
    <w:rsid w:val="00A4586C"/>
    <w:rsid w:val="00A45B18"/>
    <w:rsid w:val="00A46386"/>
    <w:rsid w:val="00A46741"/>
    <w:rsid w:val="00A467F7"/>
    <w:rsid w:val="00A46B7B"/>
    <w:rsid w:val="00A46D9E"/>
    <w:rsid w:val="00A477AE"/>
    <w:rsid w:val="00A47C9F"/>
    <w:rsid w:val="00A50064"/>
    <w:rsid w:val="00A5059F"/>
    <w:rsid w:val="00A50C44"/>
    <w:rsid w:val="00A50E81"/>
    <w:rsid w:val="00A51087"/>
    <w:rsid w:val="00A5198E"/>
    <w:rsid w:val="00A52728"/>
    <w:rsid w:val="00A52A45"/>
    <w:rsid w:val="00A52A9E"/>
    <w:rsid w:val="00A538EF"/>
    <w:rsid w:val="00A53D43"/>
    <w:rsid w:val="00A55C2C"/>
    <w:rsid w:val="00A55EC9"/>
    <w:rsid w:val="00A575F9"/>
    <w:rsid w:val="00A57773"/>
    <w:rsid w:val="00A57AA7"/>
    <w:rsid w:val="00A57E69"/>
    <w:rsid w:val="00A60CCB"/>
    <w:rsid w:val="00A60E5D"/>
    <w:rsid w:val="00A61FB1"/>
    <w:rsid w:val="00A621F1"/>
    <w:rsid w:val="00A622CE"/>
    <w:rsid w:val="00A624FE"/>
    <w:rsid w:val="00A63B59"/>
    <w:rsid w:val="00A63D19"/>
    <w:rsid w:val="00A644DB"/>
    <w:rsid w:val="00A64C0B"/>
    <w:rsid w:val="00A65725"/>
    <w:rsid w:val="00A666F6"/>
    <w:rsid w:val="00A66BD2"/>
    <w:rsid w:val="00A70C1B"/>
    <w:rsid w:val="00A70E64"/>
    <w:rsid w:val="00A71362"/>
    <w:rsid w:val="00A7166A"/>
    <w:rsid w:val="00A7316E"/>
    <w:rsid w:val="00A734BD"/>
    <w:rsid w:val="00A74C88"/>
    <w:rsid w:val="00A75CC9"/>
    <w:rsid w:val="00A76150"/>
    <w:rsid w:val="00A763F7"/>
    <w:rsid w:val="00A76BE5"/>
    <w:rsid w:val="00A76DE9"/>
    <w:rsid w:val="00A77257"/>
    <w:rsid w:val="00A77928"/>
    <w:rsid w:val="00A8046A"/>
    <w:rsid w:val="00A807F0"/>
    <w:rsid w:val="00A80A28"/>
    <w:rsid w:val="00A81D62"/>
    <w:rsid w:val="00A8270F"/>
    <w:rsid w:val="00A82808"/>
    <w:rsid w:val="00A85514"/>
    <w:rsid w:val="00A85551"/>
    <w:rsid w:val="00A85860"/>
    <w:rsid w:val="00A87305"/>
    <w:rsid w:val="00A87BCF"/>
    <w:rsid w:val="00A9034A"/>
    <w:rsid w:val="00A90DF5"/>
    <w:rsid w:val="00A92038"/>
    <w:rsid w:val="00A92640"/>
    <w:rsid w:val="00A929A9"/>
    <w:rsid w:val="00A93737"/>
    <w:rsid w:val="00A9478D"/>
    <w:rsid w:val="00A95C7A"/>
    <w:rsid w:val="00A960C7"/>
    <w:rsid w:val="00A96D0E"/>
    <w:rsid w:val="00A976F3"/>
    <w:rsid w:val="00AA0319"/>
    <w:rsid w:val="00AA0F0E"/>
    <w:rsid w:val="00AA102F"/>
    <w:rsid w:val="00AA15E1"/>
    <w:rsid w:val="00AA1BC6"/>
    <w:rsid w:val="00AA2ACA"/>
    <w:rsid w:val="00AA37ED"/>
    <w:rsid w:val="00AA3AE7"/>
    <w:rsid w:val="00AA4117"/>
    <w:rsid w:val="00AA4B8A"/>
    <w:rsid w:val="00AA53B1"/>
    <w:rsid w:val="00AA548E"/>
    <w:rsid w:val="00AA58AB"/>
    <w:rsid w:val="00AA58DE"/>
    <w:rsid w:val="00AA689C"/>
    <w:rsid w:val="00AA6AD3"/>
    <w:rsid w:val="00AA7DA1"/>
    <w:rsid w:val="00AB07C4"/>
    <w:rsid w:val="00AB08A8"/>
    <w:rsid w:val="00AB253E"/>
    <w:rsid w:val="00AB28ED"/>
    <w:rsid w:val="00AB2A8B"/>
    <w:rsid w:val="00AB33A3"/>
    <w:rsid w:val="00AB3BEE"/>
    <w:rsid w:val="00AB51A0"/>
    <w:rsid w:val="00AB557B"/>
    <w:rsid w:val="00AB5805"/>
    <w:rsid w:val="00AB5974"/>
    <w:rsid w:val="00AB6E3C"/>
    <w:rsid w:val="00AB6F51"/>
    <w:rsid w:val="00AB7625"/>
    <w:rsid w:val="00AB7C0C"/>
    <w:rsid w:val="00AB7C9D"/>
    <w:rsid w:val="00AB7FF2"/>
    <w:rsid w:val="00AC0845"/>
    <w:rsid w:val="00AC1A95"/>
    <w:rsid w:val="00AC1F26"/>
    <w:rsid w:val="00AC2B1B"/>
    <w:rsid w:val="00AC2CA1"/>
    <w:rsid w:val="00AC36AF"/>
    <w:rsid w:val="00AC3A2A"/>
    <w:rsid w:val="00AC4250"/>
    <w:rsid w:val="00AC5EF7"/>
    <w:rsid w:val="00AC651E"/>
    <w:rsid w:val="00AD01DE"/>
    <w:rsid w:val="00AD059C"/>
    <w:rsid w:val="00AD072D"/>
    <w:rsid w:val="00AD0F63"/>
    <w:rsid w:val="00AD1258"/>
    <w:rsid w:val="00AD15F6"/>
    <w:rsid w:val="00AD2370"/>
    <w:rsid w:val="00AD290F"/>
    <w:rsid w:val="00AD5891"/>
    <w:rsid w:val="00AD610D"/>
    <w:rsid w:val="00AD670C"/>
    <w:rsid w:val="00AD723B"/>
    <w:rsid w:val="00AD72EF"/>
    <w:rsid w:val="00AD765A"/>
    <w:rsid w:val="00AE0768"/>
    <w:rsid w:val="00AE0FE3"/>
    <w:rsid w:val="00AE1162"/>
    <w:rsid w:val="00AE2CBB"/>
    <w:rsid w:val="00AE3698"/>
    <w:rsid w:val="00AE3743"/>
    <w:rsid w:val="00AE53E5"/>
    <w:rsid w:val="00AE61E7"/>
    <w:rsid w:val="00AE62D1"/>
    <w:rsid w:val="00AE75D3"/>
    <w:rsid w:val="00AE7BAA"/>
    <w:rsid w:val="00AE7ECF"/>
    <w:rsid w:val="00AF016A"/>
    <w:rsid w:val="00AF01DC"/>
    <w:rsid w:val="00AF040C"/>
    <w:rsid w:val="00AF0CB7"/>
    <w:rsid w:val="00AF283B"/>
    <w:rsid w:val="00AF2908"/>
    <w:rsid w:val="00AF2C83"/>
    <w:rsid w:val="00AF2E3A"/>
    <w:rsid w:val="00AF3F35"/>
    <w:rsid w:val="00AF4CB8"/>
    <w:rsid w:val="00AF4F1B"/>
    <w:rsid w:val="00AF50EB"/>
    <w:rsid w:val="00AF5520"/>
    <w:rsid w:val="00AF5605"/>
    <w:rsid w:val="00AF6B5B"/>
    <w:rsid w:val="00AF75DA"/>
    <w:rsid w:val="00AF787F"/>
    <w:rsid w:val="00B00CA4"/>
    <w:rsid w:val="00B00CB6"/>
    <w:rsid w:val="00B01343"/>
    <w:rsid w:val="00B01380"/>
    <w:rsid w:val="00B028D5"/>
    <w:rsid w:val="00B03A87"/>
    <w:rsid w:val="00B04F0B"/>
    <w:rsid w:val="00B05FD6"/>
    <w:rsid w:val="00B06E9D"/>
    <w:rsid w:val="00B07187"/>
    <w:rsid w:val="00B07958"/>
    <w:rsid w:val="00B113F9"/>
    <w:rsid w:val="00B116F4"/>
    <w:rsid w:val="00B118CE"/>
    <w:rsid w:val="00B1258F"/>
    <w:rsid w:val="00B12F6A"/>
    <w:rsid w:val="00B135B8"/>
    <w:rsid w:val="00B14CDC"/>
    <w:rsid w:val="00B14F0F"/>
    <w:rsid w:val="00B152B4"/>
    <w:rsid w:val="00B157C4"/>
    <w:rsid w:val="00B15D67"/>
    <w:rsid w:val="00B15FD2"/>
    <w:rsid w:val="00B16049"/>
    <w:rsid w:val="00B16A25"/>
    <w:rsid w:val="00B1765E"/>
    <w:rsid w:val="00B17B1F"/>
    <w:rsid w:val="00B205E9"/>
    <w:rsid w:val="00B20DE8"/>
    <w:rsid w:val="00B20F51"/>
    <w:rsid w:val="00B2174F"/>
    <w:rsid w:val="00B236BC"/>
    <w:rsid w:val="00B237CD"/>
    <w:rsid w:val="00B23DFD"/>
    <w:rsid w:val="00B23FF0"/>
    <w:rsid w:val="00B24A31"/>
    <w:rsid w:val="00B24B03"/>
    <w:rsid w:val="00B25DE0"/>
    <w:rsid w:val="00B264FD"/>
    <w:rsid w:val="00B269A7"/>
    <w:rsid w:val="00B26AB0"/>
    <w:rsid w:val="00B30647"/>
    <w:rsid w:val="00B30DD1"/>
    <w:rsid w:val="00B31DF2"/>
    <w:rsid w:val="00B3370B"/>
    <w:rsid w:val="00B34A19"/>
    <w:rsid w:val="00B34CF8"/>
    <w:rsid w:val="00B364BA"/>
    <w:rsid w:val="00B36C81"/>
    <w:rsid w:val="00B36C9D"/>
    <w:rsid w:val="00B377BD"/>
    <w:rsid w:val="00B377E8"/>
    <w:rsid w:val="00B37971"/>
    <w:rsid w:val="00B40966"/>
    <w:rsid w:val="00B40AFE"/>
    <w:rsid w:val="00B42AB9"/>
    <w:rsid w:val="00B43F5F"/>
    <w:rsid w:val="00B442CD"/>
    <w:rsid w:val="00B44FC1"/>
    <w:rsid w:val="00B45371"/>
    <w:rsid w:val="00B45A68"/>
    <w:rsid w:val="00B46713"/>
    <w:rsid w:val="00B46FEF"/>
    <w:rsid w:val="00B47160"/>
    <w:rsid w:val="00B5011B"/>
    <w:rsid w:val="00B51093"/>
    <w:rsid w:val="00B513AC"/>
    <w:rsid w:val="00B51BF6"/>
    <w:rsid w:val="00B51C3A"/>
    <w:rsid w:val="00B5408D"/>
    <w:rsid w:val="00B5440D"/>
    <w:rsid w:val="00B55691"/>
    <w:rsid w:val="00B559BA"/>
    <w:rsid w:val="00B56869"/>
    <w:rsid w:val="00B568A8"/>
    <w:rsid w:val="00B56D73"/>
    <w:rsid w:val="00B57867"/>
    <w:rsid w:val="00B60F3E"/>
    <w:rsid w:val="00B61FBC"/>
    <w:rsid w:val="00B61FF7"/>
    <w:rsid w:val="00B623E6"/>
    <w:rsid w:val="00B629FC"/>
    <w:rsid w:val="00B62A46"/>
    <w:rsid w:val="00B62DBE"/>
    <w:rsid w:val="00B634F5"/>
    <w:rsid w:val="00B63910"/>
    <w:rsid w:val="00B6519B"/>
    <w:rsid w:val="00B66143"/>
    <w:rsid w:val="00B66A87"/>
    <w:rsid w:val="00B67D33"/>
    <w:rsid w:val="00B70ACD"/>
    <w:rsid w:val="00B71DDA"/>
    <w:rsid w:val="00B73347"/>
    <w:rsid w:val="00B745E1"/>
    <w:rsid w:val="00B745EF"/>
    <w:rsid w:val="00B74757"/>
    <w:rsid w:val="00B74A48"/>
    <w:rsid w:val="00B7559E"/>
    <w:rsid w:val="00B77201"/>
    <w:rsid w:val="00B77707"/>
    <w:rsid w:val="00B7799E"/>
    <w:rsid w:val="00B81EA7"/>
    <w:rsid w:val="00B839E1"/>
    <w:rsid w:val="00B83B52"/>
    <w:rsid w:val="00B84257"/>
    <w:rsid w:val="00B84D9E"/>
    <w:rsid w:val="00B859A5"/>
    <w:rsid w:val="00B862B3"/>
    <w:rsid w:val="00B86968"/>
    <w:rsid w:val="00B87235"/>
    <w:rsid w:val="00B87617"/>
    <w:rsid w:val="00B90155"/>
    <w:rsid w:val="00B90686"/>
    <w:rsid w:val="00B91302"/>
    <w:rsid w:val="00B915CE"/>
    <w:rsid w:val="00B91C51"/>
    <w:rsid w:val="00B922AA"/>
    <w:rsid w:val="00B930FE"/>
    <w:rsid w:val="00B94E2D"/>
    <w:rsid w:val="00B9605E"/>
    <w:rsid w:val="00B9672B"/>
    <w:rsid w:val="00B972B1"/>
    <w:rsid w:val="00BA048F"/>
    <w:rsid w:val="00BA072D"/>
    <w:rsid w:val="00BA0A24"/>
    <w:rsid w:val="00BA3A45"/>
    <w:rsid w:val="00BA4A1E"/>
    <w:rsid w:val="00BA4E7F"/>
    <w:rsid w:val="00BA64C5"/>
    <w:rsid w:val="00BA77C2"/>
    <w:rsid w:val="00BB06BD"/>
    <w:rsid w:val="00BB1808"/>
    <w:rsid w:val="00BB2362"/>
    <w:rsid w:val="00BB3183"/>
    <w:rsid w:val="00BB33DE"/>
    <w:rsid w:val="00BB361D"/>
    <w:rsid w:val="00BB3ACA"/>
    <w:rsid w:val="00BB3B53"/>
    <w:rsid w:val="00BB3FAB"/>
    <w:rsid w:val="00BB455F"/>
    <w:rsid w:val="00BB50F4"/>
    <w:rsid w:val="00BB5658"/>
    <w:rsid w:val="00BB60A3"/>
    <w:rsid w:val="00BB65A7"/>
    <w:rsid w:val="00BB75BB"/>
    <w:rsid w:val="00BB774B"/>
    <w:rsid w:val="00BB7E4A"/>
    <w:rsid w:val="00BC092F"/>
    <w:rsid w:val="00BC127B"/>
    <w:rsid w:val="00BC17B5"/>
    <w:rsid w:val="00BC1FC9"/>
    <w:rsid w:val="00BC338C"/>
    <w:rsid w:val="00BC433C"/>
    <w:rsid w:val="00BC448D"/>
    <w:rsid w:val="00BC5C36"/>
    <w:rsid w:val="00BC691B"/>
    <w:rsid w:val="00BC6A21"/>
    <w:rsid w:val="00BD0E1D"/>
    <w:rsid w:val="00BD11A7"/>
    <w:rsid w:val="00BD21EA"/>
    <w:rsid w:val="00BD2283"/>
    <w:rsid w:val="00BD264F"/>
    <w:rsid w:val="00BD28A8"/>
    <w:rsid w:val="00BD303B"/>
    <w:rsid w:val="00BD3BEE"/>
    <w:rsid w:val="00BD64E7"/>
    <w:rsid w:val="00BD6BDF"/>
    <w:rsid w:val="00BD6D45"/>
    <w:rsid w:val="00BD7216"/>
    <w:rsid w:val="00BD7DBA"/>
    <w:rsid w:val="00BE0108"/>
    <w:rsid w:val="00BE08B9"/>
    <w:rsid w:val="00BE0CCD"/>
    <w:rsid w:val="00BE1920"/>
    <w:rsid w:val="00BE1A26"/>
    <w:rsid w:val="00BE2F16"/>
    <w:rsid w:val="00BE3033"/>
    <w:rsid w:val="00BE405E"/>
    <w:rsid w:val="00BE6BEB"/>
    <w:rsid w:val="00BE6D50"/>
    <w:rsid w:val="00BE7204"/>
    <w:rsid w:val="00BE7766"/>
    <w:rsid w:val="00BF0029"/>
    <w:rsid w:val="00BF01FA"/>
    <w:rsid w:val="00BF036F"/>
    <w:rsid w:val="00BF0C0A"/>
    <w:rsid w:val="00BF118D"/>
    <w:rsid w:val="00BF203B"/>
    <w:rsid w:val="00BF2398"/>
    <w:rsid w:val="00BF2419"/>
    <w:rsid w:val="00BF243A"/>
    <w:rsid w:val="00BF2643"/>
    <w:rsid w:val="00BF29D1"/>
    <w:rsid w:val="00BF2DB1"/>
    <w:rsid w:val="00BF471B"/>
    <w:rsid w:val="00BF5A24"/>
    <w:rsid w:val="00BF6717"/>
    <w:rsid w:val="00BF790D"/>
    <w:rsid w:val="00C00DAD"/>
    <w:rsid w:val="00C01D1C"/>
    <w:rsid w:val="00C01F70"/>
    <w:rsid w:val="00C0209E"/>
    <w:rsid w:val="00C02FD8"/>
    <w:rsid w:val="00C032B1"/>
    <w:rsid w:val="00C0331A"/>
    <w:rsid w:val="00C043E1"/>
    <w:rsid w:val="00C0461E"/>
    <w:rsid w:val="00C05BB8"/>
    <w:rsid w:val="00C07328"/>
    <w:rsid w:val="00C0784E"/>
    <w:rsid w:val="00C103F3"/>
    <w:rsid w:val="00C111A6"/>
    <w:rsid w:val="00C11F2B"/>
    <w:rsid w:val="00C1203F"/>
    <w:rsid w:val="00C129A1"/>
    <w:rsid w:val="00C129E7"/>
    <w:rsid w:val="00C12D27"/>
    <w:rsid w:val="00C13BDB"/>
    <w:rsid w:val="00C14456"/>
    <w:rsid w:val="00C1502B"/>
    <w:rsid w:val="00C15631"/>
    <w:rsid w:val="00C157DF"/>
    <w:rsid w:val="00C15AFC"/>
    <w:rsid w:val="00C15E6A"/>
    <w:rsid w:val="00C15F4B"/>
    <w:rsid w:val="00C163C5"/>
    <w:rsid w:val="00C16721"/>
    <w:rsid w:val="00C1696E"/>
    <w:rsid w:val="00C174E7"/>
    <w:rsid w:val="00C17AD7"/>
    <w:rsid w:val="00C17DB2"/>
    <w:rsid w:val="00C205DE"/>
    <w:rsid w:val="00C20FD2"/>
    <w:rsid w:val="00C21219"/>
    <w:rsid w:val="00C21526"/>
    <w:rsid w:val="00C23E96"/>
    <w:rsid w:val="00C2476E"/>
    <w:rsid w:val="00C24885"/>
    <w:rsid w:val="00C248F2"/>
    <w:rsid w:val="00C250B9"/>
    <w:rsid w:val="00C25304"/>
    <w:rsid w:val="00C2685C"/>
    <w:rsid w:val="00C26A28"/>
    <w:rsid w:val="00C26B00"/>
    <w:rsid w:val="00C27453"/>
    <w:rsid w:val="00C309FE"/>
    <w:rsid w:val="00C30E39"/>
    <w:rsid w:val="00C313F4"/>
    <w:rsid w:val="00C32509"/>
    <w:rsid w:val="00C3291E"/>
    <w:rsid w:val="00C338DA"/>
    <w:rsid w:val="00C33C52"/>
    <w:rsid w:val="00C33C90"/>
    <w:rsid w:val="00C3469F"/>
    <w:rsid w:val="00C34A13"/>
    <w:rsid w:val="00C34A50"/>
    <w:rsid w:val="00C34F30"/>
    <w:rsid w:val="00C35D7B"/>
    <w:rsid w:val="00C365FC"/>
    <w:rsid w:val="00C370CC"/>
    <w:rsid w:val="00C3713E"/>
    <w:rsid w:val="00C376F5"/>
    <w:rsid w:val="00C4020A"/>
    <w:rsid w:val="00C4024F"/>
    <w:rsid w:val="00C406F4"/>
    <w:rsid w:val="00C407DC"/>
    <w:rsid w:val="00C408D1"/>
    <w:rsid w:val="00C41584"/>
    <w:rsid w:val="00C42FB8"/>
    <w:rsid w:val="00C43AEC"/>
    <w:rsid w:val="00C44A6C"/>
    <w:rsid w:val="00C4641C"/>
    <w:rsid w:val="00C46503"/>
    <w:rsid w:val="00C466CD"/>
    <w:rsid w:val="00C468E0"/>
    <w:rsid w:val="00C46A43"/>
    <w:rsid w:val="00C46C1F"/>
    <w:rsid w:val="00C50069"/>
    <w:rsid w:val="00C513D9"/>
    <w:rsid w:val="00C524D3"/>
    <w:rsid w:val="00C52D34"/>
    <w:rsid w:val="00C5352A"/>
    <w:rsid w:val="00C53AB6"/>
    <w:rsid w:val="00C54052"/>
    <w:rsid w:val="00C54E6E"/>
    <w:rsid w:val="00C55269"/>
    <w:rsid w:val="00C568F7"/>
    <w:rsid w:val="00C56C17"/>
    <w:rsid w:val="00C57633"/>
    <w:rsid w:val="00C579E4"/>
    <w:rsid w:val="00C6075C"/>
    <w:rsid w:val="00C60E3B"/>
    <w:rsid w:val="00C62131"/>
    <w:rsid w:val="00C62F67"/>
    <w:rsid w:val="00C63216"/>
    <w:rsid w:val="00C63902"/>
    <w:rsid w:val="00C6489A"/>
    <w:rsid w:val="00C64B78"/>
    <w:rsid w:val="00C6531B"/>
    <w:rsid w:val="00C65323"/>
    <w:rsid w:val="00C65337"/>
    <w:rsid w:val="00C70175"/>
    <w:rsid w:val="00C7096A"/>
    <w:rsid w:val="00C7136B"/>
    <w:rsid w:val="00C7139D"/>
    <w:rsid w:val="00C715E6"/>
    <w:rsid w:val="00C72DFC"/>
    <w:rsid w:val="00C747E3"/>
    <w:rsid w:val="00C74C64"/>
    <w:rsid w:val="00C74D74"/>
    <w:rsid w:val="00C74F34"/>
    <w:rsid w:val="00C75634"/>
    <w:rsid w:val="00C757E5"/>
    <w:rsid w:val="00C760B5"/>
    <w:rsid w:val="00C7642A"/>
    <w:rsid w:val="00C76C0F"/>
    <w:rsid w:val="00C777F4"/>
    <w:rsid w:val="00C77B1B"/>
    <w:rsid w:val="00C801DE"/>
    <w:rsid w:val="00C81DC2"/>
    <w:rsid w:val="00C8288D"/>
    <w:rsid w:val="00C83062"/>
    <w:rsid w:val="00C83305"/>
    <w:rsid w:val="00C8389A"/>
    <w:rsid w:val="00C83B95"/>
    <w:rsid w:val="00C846C9"/>
    <w:rsid w:val="00C84BA1"/>
    <w:rsid w:val="00C84D1D"/>
    <w:rsid w:val="00C84E24"/>
    <w:rsid w:val="00C856B9"/>
    <w:rsid w:val="00C859C9"/>
    <w:rsid w:val="00C863E0"/>
    <w:rsid w:val="00C86966"/>
    <w:rsid w:val="00C87B28"/>
    <w:rsid w:val="00C923C1"/>
    <w:rsid w:val="00C931CD"/>
    <w:rsid w:val="00C93227"/>
    <w:rsid w:val="00C93255"/>
    <w:rsid w:val="00C94B21"/>
    <w:rsid w:val="00C94F63"/>
    <w:rsid w:val="00C950B8"/>
    <w:rsid w:val="00C95AE5"/>
    <w:rsid w:val="00C95B30"/>
    <w:rsid w:val="00C9609F"/>
    <w:rsid w:val="00C964E1"/>
    <w:rsid w:val="00C9654B"/>
    <w:rsid w:val="00C968BF"/>
    <w:rsid w:val="00C97961"/>
    <w:rsid w:val="00C97EC1"/>
    <w:rsid w:val="00CA0125"/>
    <w:rsid w:val="00CA05DE"/>
    <w:rsid w:val="00CA0CA4"/>
    <w:rsid w:val="00CA0CD7"/>
    <w:rsid w:val="00CA12E6"/>
    <w:rsid w:val="00CA1E5B"/>
    <w:rsid w:val="00CA25C0"/>
    <w:rsid w:val="00CA2A2A"/>
    <w:rsid w:val="00CA2A2C"/>
    <w:rsid w:val="00CA2EE3"/>
    <w:rsid w:val="00CA3341"/>
    <w:rsid w:val="00CA36AD"/>
    <w:rsid w:val="00CA49BD"/>
    <w:rsid w:val="00CA49C3"/>
    <w:rsid w:val="00CA55FD"/>
    <w:rsid w:val="00CA5BCF"/>
    <w:rsid w:val="00CA6262"/>
    <w:rsid w:val="00CA626A"/>
    <w:rsid w:val="00CA7361"/>
    <w:rsid w:val="00CA7A4F"/>
    <w:rsid w:val="00CB04C9"/>
    <w:rsid w:val="00CB15D0"/>
    <w:rsid w:val="00CB1BCD"/>
    <w:rsid w:val="00CB1C16"/>
    <w:rsid w:val="00CB220A"/>
    <w:rsid w:val="00CB4AB9"/>
    <w:rsid w:val="00CB5A48"/>
    <w:rsid w:val="00CB65A1"/>
    <w:rsid w:val="00CB67E0"/>
    <w:rsid w:val="00CB7553"/>
    <w:rsid w:val="00CB7EB2"/>
    <w:rsid w:val="00CC002B"/>
    <w:rsid w:val="00CC0FF2"/>
    <w:rsid w:val="00CC1431"/>
    <w:rsid w:val="00CC2092"/>
    <w:rsid w:val="00CC3784"/>
    <w:rsid w:val="00CC3A88"/>
    <w:rsid w:val="00CC4B2B"/>
    <w:rsid w:val="00CC5854"/>
    <w:rsid w:val="00CC761E"/>
    <w:rsid w:val="00CD03F6"/>
    <w:rsid w:val="00CD0828"/>
    <w:rsid w:val="00CD0C59"/>
    <w:rsid w:val="00CD1BA8"/>
    <w:rsid w:val="00CD2A5B"/>
    <w:rsid w:val="00CD3004"/>
    <w:rsid w:val="00CD3356"/>
    <w:rsid w:val="00CD3EA7"/>
    <w:rsid w:val="00CD3FA4"/>
    <w:rsid w:val="00CD419B"/>
    <w:rsid w:val="00CD45F3"/>
    <w:rsid w:val="00CD6462"/>
    <w:rsid w:val="00CD6A13"/>
    <w:rsid w:val="00CD6A60"/>
    <w:rsid w:val="00CD6C12"/>
    <w:rsid w:val="00CD7282"/>
    <w:rsid w:val="00CE0EA7"/>
    <w:rsid w:val="00CE22A7"/>
    <w:rsid w:val="00CE25F8"/>
    <w:rsid w:val="00CE307F"/>
    <w:rsid w:val="00CE36A3"/>
    <w:rsid w:val="00CE3AEE"/>
    <w:rsid w:val="00CE4B71"/>
    <w:rsid w:val="00CE4B9F"/>
    <w:rsid w:val="00CE4D93"/>
    <w:rsid w:val="00CE5074"/>
    <w:rsid w:val="00CE526E"/>
    <w:rsid w:val="00CE536F"/>
    <w:rsid w:val="00CE5A49"/>
    <w:rsid w:val="00CE62EF"/>
    <w:rsid w:val="00CE66B5"/>
    <w:rsid w:val="00CF045F"/>
    <w:rsid w:val="00CF0AC1"/>
    <w:rsid w:val="00CF0ADE"/>
    <w:rsid w:val="00CF12ED"/>
    <w:rsid w:val="00CF1F08"/>
    <w:rsid w:val="00CF2A62"/>
    <w:rsid w:val="00CF2C88"/>
    <w:rsid w:val="00CF4131"/>
    <w:rsid w:val="00CF41FB"/>
    <w:rsid w:val="00CF4EC0"/>
    <w:rsid w:val="00CF590E"/>
    <w:rsid w:val="00CF653C"/>
    <w:rsid w:val="00CF6880"/>
    <w:rsid w:val="00CF6C6C"/>
    <w:rsid w:val="00CF7161"/>
    <w:rsid w:val="00CF7FCA"/>
    <w:rsid w:val="00D013CA"/>
    <w:rsid w:val="00D01A47"/>
    <w:rsid w:val="00D02776"/>
    <w:rsid w:val="00D037F2"/>
    <w:rsid w:val="00D04F1F"/>
    <w:rsid w:val="00D04FEC"/>
    <w:rsid w:val="00D057EB"/>
    <w:rsid w:val="00D058BE"/>
    <w:rsid w:val="00D060E6"/>
    <w:rsid w:val="00D06FF4"/>
    <w:rsid w:val="00D07703"/>
    <w:rsid w:val="00D07E82"/>
    <w:rsid w:val="00D100F5"/>
    <w:rsid w:val="00D11176"/>
    <w:rsid w:val="00D1120A"/>
    <w:rsid w:val="00D11E97"/>
    <w:rsid w:val="00D12428"/>
    <w:rsid w:val="00D13E5E"/>
    <w:rsid w:val="00D146D2"/>
    <w:rsid w:val="00D14B33"/>
    <w:rsid w:val="00D153C8"/>
    <w:rsid w:val="00D16B44"/>
    <w:rsid w:val="00D1700B"/>
    <w:rsid w:val="00D17428"/>
    <w:rsid w:val="00D178A6"/>
    <w:rsid w:val="00D20349"/>
    <w:rsid w:val="00D2093C"/>
    <w:rsid w:val="00D2158D"/>
    <w:rsid w:val="00D2166E"/>
    <w:rsid w:val="00D21AE1"/>
    <w:rsid w:val="00D22368"/>
    <w:rsid w:val="00D224EA"/>
    <w:rsid w:val="00D22B71"/>
    <w:rsid w:val="00D22B86"/>
    <w:rsid w:val="00D236C8"/>
    <w:rsid w:val="00D238B7"/>
    <w:rsid w:val="00D243F2"/>
    <w:rsid w:val="00D24A55"/>
    <w:rsid w:val="00D24CF6"/>
    <w:rsid w:val="00D2585B"/>
    <w:rsid w:val="00D25B88"/>
    <w:rsid w:val="00D27296"/>
    <w:rsid w:val="00D27404"/>
    <w:rsid w:val="00D275BF"/>
    <w:rsid w:val="00D276D3"/>
    <w:rsid w:val="00D2778E"/>
    <w:rsid w:val="00D305E4"/>
    <w:rsid w:val="00D30F46"/>
    <w:rsid w:val="00D339E0"/>
    <w:rsid w:val="00D33F05"/>
    <w:rsid w:val="00D344CB"/>
    <w:rsid w:val="00D3455F"/>
    <w:rsid w:val="00D369A1"/>
    <w:rsid w:val="00D37343"/>
    <w:rsid w:val="00D374CF"/>
    <w:rsid w:val="00D42704"/>
    <w:rsid w:val="00D43B93"/>
    <w:rsid w:val="00D44449"/>
    <w:rsid w:val="00D4457B"/>
    <w:rsid w:val="00D456A0"/>
    <w:rsid w:val="00D45C8F"/>
    <w:rsid w:val="00D46242"/>
    <w:rsid w:val="00D465E8"/>
    <w:rsid w:val="00D46BA4"/>
    <w:rsid w:val="00D46F03"/>
    <w:rsid w:val="00D510BC"/>
    <w:rsid w:val="00D5116A"/>
    <w:rsid w:val="00D520D2"/>
    <w:rsid w:val="00D5223D"/>
    <w:rsid w:val="00D52719"/>
    <w:rsid w:val="00D52F3D"/>
    <w:rsid w:val="00D531C7"/>
    <w:rsid w:val="00D5408A"/>
    <w:rsid w:val="00D5584F"/>
    <w:rsid w:val="00D55B1E"/>
    <w:rsid w:val="00D55F54"/>
    <w:rsid w:val="00D55F6C"/>
    <w:rsid w:val="00D602BD"/>
    <w:rsid w:val="00D61495"/>
    <w:rsid w:val="00D62167"/>
    <w:rsid w:val="00D63565"/>
    <w:rsid w:val="00D641D7"/>
    <w:rsid w:val="00D66E91"/>
    <w:rsid w:val="00D67D1D"/>
    <w:rsid w:val="00D70E74"/>
    <w:rsid w:val="00D71357"/>
    <w:rsid w:val="00D71494"/>
    <w:rsid w:val="00D717BF"/>
    <w:rsid w:val="00D71C67"/>
    <w:rsid w:val="00D71F8D"/>
    <w:rsid w:val="00D72BCE"/>
    <w:rsid w:val="00D72FD0"/>
    <w:rsid w:val="00D73355"/>
    <w:rsid w:val="00D74F66"/>
    <w:rsid w:val="00D75D23"/>
    <w:rsid w:val="00D76077"/>
    <w:rsid w:val="00D76226"/>
    <w:rsid w:val="00D76759"/>
    <w:rsid w:val="00D76CBA"/>
    <w:rsid w:val="00D76E89"/>
    <w:rsid w:val="00D775AE"/>
    <w:rsid w:val="00D779B7"/>
    <w:rsid w:val="00D80240"/>
    <w:rsid w:val="00D80A6B"/>
    <w:rsid w:val="00D80FE6"/>
    <w:rsid w:val="00D812E4"/>
    <w:rsid w:val="00D8132C"/>
    <w:rsid w:val="00D81579"/>
    <w:rsid w:val="00D816D1"/>
    <w:rsid w:val="00D81BBC"/>
    <w:rsid w:val="00D81FD6"/>
    <w:rsid w:val="00D82592"/>
    <w:rsid w:val="00D8322D"/>
    <w:rsid w:val="00D8388B"/>
    <w:rsid w:val="00D83C17"/>
    <w:rsid w:val="00D8441D"/>
    <w:rsid w:val="00D87105"/>
    <w:rsid w:val="00D871EC"/>
    <w:rsid w:val="00D91D38"/>
    <w:rsid w:val="00D92CFD"/>
    <w:rsid w:val="00D92F31"/>
    <w:rsid w:val="00D9337B"/>
    <w:rsid w:val="00D93680"/>
    <w:rsid w:val="00D936D1"/>
    <w:rsid w:val="00D93F15"/>
    <w:rsid w:val="00D95FB2"/>
    <w:rsid w:val="00D96C70"/>
    <w:rsid w:val="00D96ED0"/>
    <w:rsid w:val="00D96EFF"/>
    <w:rsid w:val="00D974EA"/>
    <w:rsid w:val="00D97B0D"/>
    <w:rsid w:val="00DA0640"/>
    <w:rsid w:val="00DA0B6F"/>
    <w:rsid w:val="00DA0E8D"/>
    <w:rsid w:val="00DA1E18"/>
    <w:rsid w:val="00DA278B"/>
    <w:rsid w:val="00DA343C"/>
    <w:rsid w:val="00DA35E0"/>
    <w:rsid w:val="00DA380C"/>
    <w:rsid w:val="00DA474E"/>
    <w:rsid w:val="00DA54DC"/>
    <w:rsid w:val="00DA5506"/>
    <w:rsid w:val="00DA721F"/>
    <w:rsid w:val="00DB09EC"/>
    <w:rsid w:val="00DB0A16"/>
    <w:rsid w:val="00DB0E3F"/>
    <w:rsid w:val="00DB1716"/>
    <w:rsid w:val="00DB17E8"/>
    <w:rsid w:val="00DB18F3"/>
    <w:rsid w:val="00DB2204"/>
    <w:rsid w:val="00DB2C25"/>
    <w:rsid w:val="00DB381A"/>
    <w:rsid w:val="00DB484D"/>
    <w:rsid w:val="00DB5273"/>
    <w:rsid w:val="00DB5576"/>
    <w:rsid w:val="00DB6C36"/>
    <w:rsid w:val="00DC06B9"/>
    <w:rsid w:val="00DC0B52"/>
    <w:rsid w:val="00DC10A0"/>
    <w:rsid w:val="00DC1AFF"/>
    <w:rsid w:val="00DC1CF9"/>
    <w:rsid w:val="00DC2CDB"/>
    <w:rsid w:val="00DC36E1"/>
    <w:rsid w:val="00DC4EA9"/>
    <w:rsid w:val="00DC516F"/>
    <w:rsid w:val="00DC625E"/>
    <w:rsid w:val="00DC66DA"/>
    <w:rsid w:val="00DC6C57"/>
    <w:rsid w:val="00DC6C8A"/>
    <w:rsid w:val="00DD0399"/>
    <w:rsid w:val="00DD085A"/>
    <w:rsid w:val="00DD0D78"/>
    <w:rsid w:val="00DD1746"/>
    <w:rsid w:val="00DD17B8"/>
    <w:rsid w:val="00DD1FCB"/>
    <w:rsid w:val="00DD439A"/>
    <w:rsid w:val="00DD52FD"/>
    <w:rsid w:val="00DD5C47"/>
    <w:rsid w:val="00DD5F1B"/>
    <w:rsid w:val="00DD6B42"/>
    <w:rsid w:val="00DD6BF9"/>
    <w:rsid w:val="00DD719E"/>
    <w:rsid w:val="00DD741E"/>
    <w:rsid w:val="00DD7615"/>
    <w:rsid w:val="00DD782E"/>
    <w:rsid w:val="00DD7D46"/>
    <w:rsid w:val="00DE076A"/>
    <w:rsid w:val="00DE106E"/>
    <w:rsid w:val="00DE16F6"/>
    <w:rsid w:val="00DE19BF"/>
    <w:rsid w:val="00DE1BB4"/>
    <w:rsid w:val="00DE52BF"/>
    <w:rsid w:val="00DE598B"/>
    <w:rsid w:val="00DF0AEA"/>
    <w:rsid w:val="00DF0F1D"/>
    <w:rsid w:val="00DF105F"/>
    <w:rsid w:val="00DF1CF7"/>
    <w:rsid w:val="00DF1FBE"/>
    <w:rsid w:val="00DF2442"/>
    <w:rsid w:val="00DF31E6"/>
    <w:rsid w:val="00DF337F"/>
    <w:rsid w:val="00DF3711"/>
    <w:rsid w:val="00DF5714"/>
    <w:rsid w:val="00DF66F2"/>
    <w:rsid w:val="00DF6ABF"/>
    <w:rsid w:val="00DF6C5F"/>
    <w:rsid w:val="00DF6EC2"/>
    <w:rsid w:val="00DF7153"/>
    <w:rsid w:val="00DF7AFE"/>
    <w:rsid w:val="00DF7FB9"/>
    <w:rsid w:val="00E0016B"/>
    <w:rsid w:val="00E00302"/>
    <w:rsid w:val="00E004B7"/>
    <w:rsid w:val="00E0187C"/>
    <w:rsid w:val="00E02206"/>
    <w:rsid w:val="00E02A77"/>
    <w:rsid w:val="00E02E56"/>
    <w:rsid w:val="00E03212"/>
    <w:rsid w:val="00E03879"/>
    <w:rsid w:val="00E03977"/>
    <w:rsid w:val="00E03E7C"/>
    <w:rsid w:val="00E04837"/>
    <w:rsid w:val="00E05699"/>
    <w:rsid w:val="00E05C19"/>
    <w:rsid w:val="00E068D8"/>
    <w:rsid w:val="00E06934"/>
    <w:rsid w:val="00E06A36"/>
    <w:rsid w:val="00E06ABF"/>
    <w:rsid w:val="00E06BCC"/>
    <w:rsid w:val="00E07EAC"/>
    <w:rsid w:val="00E102EC"/>
    <w:rsid w:val="00E1195C"/>
    <w:rsid w:val="00E11B70"/>
    <w:rsid w:val="00E11BCF"/>
    <w:rsid w:val="00E127CD"/>
    <w:rsid w:val="00E129AC"/>
    <w:rsid w:val="00E138A1"/>
    <w:rsid w:val="00E13A31"/>
    <w:rsid w:val="00E142A2"/>
    <w:rsid w:val="00E146DE"/>
    <w:rsid w:val="00E14BCA"/>
    <w:rsid w:val="00E152F8"/>
    <w:rsid w:val="00E1555A"/>
    <w:rsid w:val="00E158DC"/>
    <w:rsid w:val="00E15B33"/>
    <w:rsid w:val="00E16635"/>
    <w:rsid w:val="00E2032F"/>
    <w:rsid w:val="00E209C1"/>
    <w:rsid w:val="00E20FE9"/>
    <w:rsid w:val="00E21C6C"/>
    <w:rsid w:val="00E22406"/>
    <w:rsid w:val="00E2334F"/>
    <w:rsid w:val="00E233F2"/>
    <w:rsid w:val="00E23D8F"/>
    <w:rsid w:val="00E248D0"/>
    <w:rsid w:val="00E26B2C"/>
    <w:rsid w:val="00E2711A"/>
    <w:rsid w:val="00E27525"/>
    <w:rsid w:val="00E27D40"/>
    <w:rsid w:val="00E30EA4"/>
    <w:rsid w:val="00E314D7"/>
    <w:rsid w:val="00E314E0"/>
    <w:rsid w:val="00E31C8A"/>
    <w:rsid w:val="00E3252B"/>
    <w:rsid w:val="00E32EE8"/>
    <w:rsid w:val="00E33EDA"/>
    <w:rsid w:val="00E34A49"/>
    <w:rsid w:val="00E34B7B"/>
    <w:rsid w:val="00E3521C"/>
    <w:rsid w:val="00E352DE"/>
    <w:rsid w:val="00E35D67"/>
    <w:rsid w:val="00E376C5"/>
    <w:rsid w:val="00E4093B"/>
    <w:rsid w:val="00E41A0C"/>
    <w:rsid w:val="00E44567"/>
    <w:rsid w:val="00E44F1F"/>
    <w:rsid w:val="00E455AA"/>
    <w:rsid w:val="00E45B9E"/>
    <w:rsid w:val="00E46037"/>
    <w:rsid w:val="00E4793A"/>
    <w:rsid w:val="00E47D8B"/>
    <w:rsid w:val="00E47D8E"/>
    <w:rsid w:val="00E51019"/>
    <w:rsid w:val="00E51382"/>
    <w:rsid w:val="00E521F0"/>
    <w:rsid w:val="00E52FBE"/>
    <w:rsid w:val="00E52FD8"/>
    <w:rsid w:val="00E53BB7"/>
    <w:rsid w:val="00E552C2"/>
    <w:rsid w:val="00E554F2"/>
    <w:rsid w:val="00E55CC2"/>
    <w:rsid w:val="00E569C1"/>
    <w:rsid w:val="00E5762E"/>
    <w:rsid w:val="00E578EF"/>
    <w:rsid w:val="00E6018C"/>
    <w:rsid w:val="00E609F3"/>
    <w:rsid w:val="00E616AD"/>
    <w:rsid w:val="00E617AE"/>
    <w:rsid w:val="00E62292"/>
    <w:rsid w:val="00E624EE"/>
    <w:rsid w:val="00E62684"/>
    <w:rsid w:val="00E6288B"/>
    <w:rsid w:val="00E62C9F"/>
    <w:rsid w:val="00E63EF8"/>
    <w:rsid w:val="00E6420B"/>
    <w:rsid w:val="00E6600F"/>
    <w:rsid w:val="00E6606F"/>
    <w:rsid w:val="00E66F26"/>
    <w:rsid w:val="00E67960"/>
    <w:rsid w:val="00E67A03"/>
    <w:rsid w:val="00E70C09"/>
    <w:rsid w:val="00E72785"/>
    <w:rsid w:val="00E72EB6"/>
    <w:rsid w:val="00E73748"/>
    <w:rsid w:val="00E73D48"/>
    <w:rsid w:val="00E74032"/>
    <w:rsid w:val="00E7694A"/>
    <w:rsid w:val="00E773C5"/>
    <w:rsid w:val="00E802BB"/>
    <w:rsid w:val="00E80440"/>
    <w:rsid w:val="00E82CFC"/>
    <w:rsid w:val="00E8451A"/>
    <w:rsid w:val="00E84A85"/>
    <w:rsid w:val="00E851CA"/>
    <w:rsid w:val="00E85D07"/>
    <w:rsid w:val="00E85D1A"/>
    <w:rsid w:val="00E85E02"/>
    <w:rsid w:val="00E8607D"/>
    <w:rsid w:val="00E86636"/>
    <w:rsid w:val="00E867C5"/>
    <w:rsid w:val="00E86C20"/>
    <w:rsid w:val="00E86D42"/>
    <w:rsid w:val="00E872DE"/>
    <w:rsid w:val="00E87382"/>
    <w:rsid w:val="00E8749A"/>
    <w:rsid w:val="00E87DC5"/>
    <w:rsid w:val="00E90673"/>
    <w:rsid w:val="00E933E5"/>
    <w:rsid w:val="00E93619"/>
    <w:rsid w:val="00E938EC"/>
    <w:rsid w:val="00E93D9B"/>
    <w:rsid w:val="00E9419A"/>
    <w:rsid w:val="00E942F3"/>
    <w:rsid w:val="00E9793A"/>
    <w:rsid w:val="00E97E72"/>
    <w:rsid w:val="00EA06FE"/>
    <w:rsid w:val="00EA0F3F"/>
    <w:rsid w:val="00EA1E04"/>
    <w:rsid w:val="00EA2088"/>
    <w:rsid w:val="00EA25A2"/>
    <w:rsid w:val="00EA2A8F"/>
    <w:rsid w:val="00EA329D"/>
    <w:rsid w:val="00EA36E8"/>
    <w:rsid w:val="00EA38F8"/>
    <w:rsid w:val="00EA3B68"/>
    <w:rsid w:val="00EA3D01"/>
    <w:rsid w:val="00EA41AF"/>
    <w:rsid w:val="00EA4490"/>
    <w:rsid w:val="00EA46AE"/>
    <w:rsid w:val="00EA4D98"/>
    <w:rsid w:val="00EA5787"/>
    <w:rsid w:val="00EA5A02"/>
    <w:rsid w:val="00EA6158"/>
    <w:rsid w:val="00EA7853"/>
    <w:rsid w:val="00EA78CD"/>
    <w:rsid w:val="00EA7E37"/>
    <w:rsid w:val="00EB0972"/>
    <w:rsid w:val="00EB21E2"/>
    <w:rsid w:val="00EB48D9"/>
    <w:rsid w:val="00EB532E"/>
    <w:rsid w:val="00EB56DE"/>
    <w:rsid w:val="00EB615D"/>
    <w:rsid w:val="00EB7E42"/>
    <w:rsid w:val="00EC20B3"/>
    <w:rsid w:val="00EC2A9B"/>
    <w:rsid w:val="00EC3973"/>
    <w:rsid w:val="00EC5459"/>
    <w:rsid w:val="00EC5661"/>
    <w:rsid w:val="00EC6E7E"/>
    <w:rsid w:val="00EC6EEB"/>
    <w:rsid w:val="00EC7D32"/>
    <w:rsid w:val="00EC7DCF"/>
    <w:rsid w:val="00ED0196"/>
    <w:rsid w:val="00ED068E"/>
    <w:rsid w:val="00ED0B8C"/>
    <w:rsid w:val="00ED0F68"/>
    <w:rsid w:val="00ED1311"/>
    <w:rsid w:val="00ED1FD7"/>
    <w:rsid w:val="00ED20B4"/>
    <w:rsid w:val="00ED2374"/>
    <w:rsid w:val="00ED30E0"/>
    <w:rsid w:val="00ED32A3"/>
    <w:rsid w:val="00ED33B1"/>
    <w:rsid w:val="00ED3DA8"/>
    <w:rsid w:val="00ED43A9"/>
    <w:rsid w:val="00ED4749"/>
    <w:rsid w:val="00ED4837"/>
    <w:rsid w:val="00ED4B44"/>
    <w:rsid w:val="00ED5016"/>
    <w:rsid w:val="00ED5393"/>
    <w:rsid w:val="00ED575D"/>
    <w:rsid w:val="00ED5C98"/>
    <w:rsid w:val="00ED6274"/>
    <w:rsid w:val="00ED6FE8"/>
    <w:rsid w:val="00ED70A5"/>
    <w:rsid w:val="00ED7A72"/>
    <w:rsid w:val="00EE0081"/>
    <w:rsid w:val="00EE0936"/>
    <w:rsid w:val="00EE0D21"/>
    <w:rsid w:val="00EE1208"/>
    <w:rsid w:val="00EE19A5"/>
    <w:rsid w:val="00EE1EEF"/>
    <w:rsid w:val="00EE2748"/>
    <w:rsid w:val="00EE2BF4"/>
    <w:rsid w:val="00EE3CA2"/>
    <w:rsid w:val="00EE3F91"/>
    <w:rsid w:val="00EE41AB"/>
    <w:rsid w:val="00EE671D"/>
    <w:rsid w:val="00EE714E"/>
    <w:rsid w:val="00EE74C0"/>
    <w:rsid w:val="00EE7639"/>
    <w:rsid w:val="00EE77B8"/>
    <w:rsid w:val="00EE7CEF"/>
    <w:rsid w:val="00EF020E"/>
    <w:rsid w:val="00EF0BA4"/>
    <w:rsid w:val="00EF0F79"/>
    <w:rsid w:val="00EF1AC8"/>
    <w:rsid w:val="00EF1F9B"/>
    <w:rsid w:val="00EF2556"/>
    <w:rsid w:val="00EF367B"/>
    <w:rsid w:val="00EF4091"/>
    <w:rsid w:val="00EF46DE"/>
    <w:rsid w:val="00EF58B3"/>
    <w:rsid w:val="00EF5B4C"/>
    <w:rsid w:val="00EF5D65"/>
    <w:rsid w:val="00EF61FD"/>
    <w:rsid w:val="00EF6D38"/>
    <w:rsid w:val="00EF7468"/>
    <w:rsid w:val="00EF7ABB"/>
    <w:rsid w:val="00EF7F45"/>
    <w:rsid w:val="00F00A88"/>
    <w:rsid w:val="00F00B8C"/>
    <w:rsid w:val="00F01164"/>
    <w:rsid w:val="00F01359"/>
    <w:rsid w:val="00F015B0"/>
    <w:rsid w:val="00F0246B"/>
    <w:rsid w:val="00F02634"/>
    <w:rsid w:val="00F02E5E"/>
    <w:rsid w:val="00F0361E"/>
    <w:rsid w:val="00F03ADC"/>
    <w:rsid w:val="00F03F0E"/>
    <w:rsid w:val="00F0508F"/>
    <w:rsid w:val="00F0660B"/>
    <w:rsid w:val="00F069F6"/>
    <w:rsid w:val="00F06E44"/>
    <w:rsid w:val="00F071C6"/>
    <w:rsid w:val="00F108F8"/>
    <w:rsid w:val="00F10D34"/>
    <w:rsid w:val="00F12628"/>
    <w:rsid w:val="00F12A90"/>
    <w:rsid w:val="00F14310"/>
    <w:rsid w:val="00F1445C"/>
    <w:rsid w:val="00F15081"/>
    <w:rsid w:val="00F15D03"/>
    <w:rsid w:val="00F16B0A"/>
    <w:rsid w:val="00F16D52"/>
    <w:rsid w:val="00F17619"/>
    <w:rsid w:val="00F17661"/>
    <w:rsid w:val="00F17715"/>
    <w:rsid w:val="00F17AC6"/>
    <w:rsid w:val="00F20458"/>
    <w:rsid w:val="00F20D3D"/>
    <w:rsid w:val="00F20EA1"/>
    <w:rsid w:val="00F2156B"/>
    <w:rsid w:val="00F21A03"/>
    <w:rsid w:val="00F21F27"/>
    <w:rsid w:val="00F23537"/>
    <w:rsid w:val="00F245AD"/>
    <w:rsid w:val="00F250E3"/>
    <w:rsid w:val="00F25101"/>
    <w:rsid w:val="00F257DF"/>
    <w:rsid w:val="00F275A3"/>
    <w:rsid w:val="00F27ADA"/>
    <w:rsid w:val="00F27B84"/>
    <w:rsid w:val="00F308B1"/>
    <w:rsid w:val="00F31601"/>
    <w:rsid w:val="00F31C16"/>
    <w:rsid w:val="00F31DC2"/>
    <w:rsid w:val="00F367E6"/>
    <w:rsid w:val="00F3699C"/>
    <w:rsid w:val="00F37CB8"/>
    <w:rsid w:val="00F4074B"/>
    <w:rsid w:val="00F40D15"/>
    <w:rsid w:val="00F410F7"/>
    <w:rsid w:val="00F41CC2"/>
    <w:rsid w:val="00F421CC"/>
    <w:rsid w:val="00F426C7"/>
    <w:rsid w:val="00F4289C"/>
    <w:rsid w:val="00F42B30"/>
    <w:rsid w:val="00F42B60"/>
    <w:rsid w:val="00F42C07"/>
    <w:rsid w:val="00F43C64"/>
    <w:rsid w:val="00F47A07"/>
    <w:rsid w:val="00F47F19"/>
    <w:rsid w:val="00F50675"/>
    <w:rsid w:val="00F5078C"/>
    <w:rsid w:val="00F50D80"/>
    <w:rsid w:val="00F51204"/>
    <w:rsid w:val="00F5169B"/>
    <w:rsid w:val="00F516EC"/>
    <w:rsid w:val="00F5266C"/>
    <w:rsid w:val="00F52AD5"/>
    <w:rsid w:val="00F532E8"/>
    <w:rsid w:val="00F53604"/>
    <w:rsid w:val="00F53F27"/>
    <w:rsid w:val="00F56056"/>
    <w:rsid w:val="00F560DC"/>
    <w:rsid w:val="00F56786"/>
    <w:rsid w:val="00F568DF"/>
    <w:rsid w:val="00F56A29"/>
    <w:rsid w:val="00F56B48"/>
    <w:rsid w:val="00F56BDE"/>
    <w:rsid w:val="00F57213"/>
    <w:rsid w:val="00F5736B"/>
    <w:rsid w:val="00F608E2"/>
    <w:rsid w:val="00F61C15"/>
    <w:rsid w:val="00F61F07"/>
    <w:rsid w:val="00F6216A"/>
    <w:rsid w:val="00F62704"/>
    <w:rsid w:val="00F62D3B"/>
    <w:rsid w:val="00F6320B"/>
    <w:rsid w:val="00F63519"/>
    <w:rsid w:val="00F6457E"/>
    <w:rsid w:val="00F647C6"/>
    <w:rsid w:val="00F65A0B"/>
    <w:rsid w:val="00F65E81"/>
    <w:rsid w:val="00F6715F"/>
    <w:rsid w:val="00F67357"/>
    <w:rsid w:val="00F67AA1"/>
    <w:rsid w:val="00F67C4A"/>
    <w:rsid w:val="00F67E8B"/>
    <w:rsid w:val="00F70A7B"/>
    <w:rsid w:val="00F71BDE"/>
    <w:rsid w:val="00F725F9"/>
    <w:rsid w:val="00F72BDA"/>
    <w:rsid w:val="00F72E1F"/>
    <w:rsid w:val="00F7306A"/>
    <w:rsid w:val="00F73465"/>
    <w:rsid w:val="00F76D6C"/>
    <w:rsid w:val="00F804B6"/>
    <w:rsid w:val="00F82386"/>
    <w:rsid w:val="00F82DF1"/>
    <w:rsid w:val="00F837B4"/>
    <w:rsid w:val="00F838DF"/>
    <w:rsid w:val="00F84256"/>
    <w:rsid w:val="00F843AF"/>
    <w:rsid w:val="00F84774"/>
    <w:rsid w:val="00F8591C"/>
    <w:rsid w:val="00F863A4"/>
    <w:rsid w:val="00F875C2"/>
    <w:rsid w:val="00F8775B"/>
    <w:rsid w:val="00F87DBF"/>
    <w:rsid w:val="00F87E4D"/>
    <w:rsid w:val="00F90D8F"/>
    <w:rsid w:val="00F90E5A"/>
    <w:rsid w:val="00F91A26"/>
    <w:rsid w:val="00F91A5E"/>
    <w:rsid w:val="00F922B4"/>
    <w:rsid w:val="00F95A0C"/>
    <w:rsid w:val="00F96DDA"/>
    <w:rsid w:val="00F9731F"/>
    <w:rsid w:val="00F97C8F"/>
    <w:rsid w:val="00FA0199"/>
    <w:rsid w:val="00FA1946"/>
    <w:rsid w:val="00FA3506"/>
    <w:rsid w:val="00FA3D41"/>
    <w:rsid w:val="00FA4694"/>
    <w:rsid w:val="00FA49BE"/>
    <w:rsid w:val="00FA61E7"/>
    <w:rsid w:val="00FA63B7"/>
    <w:rsid w:val="00FA6A76"/>
    <w:rsid w:val="00FA6F39"/>
    <w:rsid w:val="00FB03EC"/>
    <w:rsid w:val="00FB1447"/>
    <w:rsid w:val="00FB1EED"/>
    <w:rsid w:val="00FB299A"/>
    <w:rsid w:val="00FB2DCD"/>
    <w:rsid w:val="00FB358E"/>
    <w:rsid w:val="00FB37E6"/>
    <w:rsid w:val="00FB42FE"/>
    <w:rsid w:val="00FB452E"/>
    <w:rsid w:val="00FB4883"/>
    <w:rsid w:val="00FB4E22"/>
    <w:rsid w:val="00FB4FE8"/>
    <w:rsid w:val="00FB54B5"/>
    <w:rsid w:val="00FB5AB8"/>
    <w:rsid w:val="00FB5D1B"/>
    <w:rsid w:val="00FB6A70"/>
    <w:rsid w:val="00FB6B0F"/>
    <w:rsid w:val="00FB6D7D"/>
    <w:rsid w:val="00FB751F"/>
    <w:rsid w:val="00FC0807"/>
    <w:rsid w:val="00FC0A9A"/>
    <w:rsid w:val="00FC2D00"/>
    <w:rsid w:val="00FC33C5"/>
    <w:rsid w:val="00FC3C10"/>
    <w:rsid w:val="00FC40B5"/>
    <w:rsid w:val="00FC4A0B"/>
    <w:rsid w:val="00FC4BA7"/>
    <w:rsid w:val="00FC4DE1"/>
    <w:rsid w:val="00FC545A"/>
    <w:rsid w:val="00FC5604"/>
    <w:rsid w:val="00FC5806"/>
    <w:rsid w:val="00FC5E5A"/>
    <w:rsid w:val="00FC6079"/>
    <w:rsid w:val="00FC6163"/>
    <w:rsid w:val="00FC6C73"/>
    <w:rsid w:val="00FC6F35"/>
    <w:rsid w:val="00FC72E2"/>
    <w:rsid w:val="00FC7E67"/>
    <w:rsid w:val="00FC7EEA"/>
    <w:rsid w:val="00FD0A55"/>
    <w:rsid w:val="00FD0A74"/>
    <w:rsid w:val="00FD1490"/>
    <w:rsid w:val="00FD206D"/>
    <w:rsid w:val="00FD25D8"/>
    <w:rsid w:val="00FD51BE"/>
    <w:rsid w:val="00FD52AE"/>
    <w:rsid w:val="00FD52F2"/>
    <w:rsid w:val="00FD665D"/>
    <w:rsid w:val="00FD676D"/>
    <w:rsid w:val="00FD6EE9"/>
    <w:rsid w:val="00FD7172"/>
    <w:rsid w:val="00FD71A4"/>
    <w:rsid w:val="00FD71B8"/>
    <w:rsid w:val="00FD7AD5"/>
    <w:rsid w:val="00FE173B"/>
    <w:rsid w:val="00FE1AA0"/>
    <w:rsid w:val="00FE1F29"/>
    <w:rsid w:val="00FE27ED"/>
    <w:rsid w:val="00FE2EED"/>
    <w:rsid w:val="00FE38B9"/>
    <w:rsid w:val="00FE3D69"/>
    <w:rsid w:val="00FE6245"/>
    <w:rsid w:val="00FE73C7"/>
    <w:rsid w:val="00FF1143"/>
    <w:rsid w:val="00FF1C54"/>
    <w:rsid w:val="00FF1CA3"/>
    <w:rsid w:val="00FF2DDA"/>
    <w:rsid w:val="00FF5365"/>
    <w:rsid w:val="00FF602C"/>
    <w:rsid w:val="00FF7BBA"/>
    <w:rsid w:val="041005C4"/>
    <w:rsid w:val="0ABD258A"/>
    <w:rsid w:val="0B445A26"/>
    <w:rsid w:val="0BA041D4"/>
    <w:rsid w:val="0BF12B54"/>
    <w:rsid w:val="0C194FA4"/>
    <w:rsid w:val="0E1D49C4"/>
    <w:rsid w:val="0E5424EF"/>
    <w:rsid w:val="0F0169BA"/>
    <w:rsid w:val="10DA3405"/>
    <w:rsid w:val="117F60EF"/>
    <w:rsid w:val="145762AB"/>
    <w:rsid w:val="15EE1ECB"/>
    <w:rsid w:val="18A518AF"/>
    <w:rsid w:val="1B060847"/>
    <w:rsid w:val="1B4C7E79"/>
    <w:rsid w:val="1D2062F6"/>
    <w:rsid w:val="1D2E35BD"/>
    <w:rsid w:val="1F600B97"/>
    <w:rsid w:val="214E3DC8"/>
    <w:rsid w:val="215C1963"/>
    <w:rsid w:val="21D41C5E"/>
    <w:rsid w:val="222A0C33"/>
    <w:rsid w:val="23AD42C9"/>
    <w:rsid w:val="24AB6698"/>
    <w:rsid w:val="2609650F"/>
    <w:rsid w:val="284952E9"/>
    <w:rsid w:val="2928056C"/>
    <w:rsid w:val="2A686AAA"/>
    <w:rsid w:val="2ABE71A1"/>
    <w:rsid w:val="2B4D48C6"/>
    <w:rsid w:val="2B622F2D"/>
    <w:rsid w:val="2C3E0D28"/>
    <w:rsid w:val="2D5C161A"/>
    <w:rsid w:val="2D9C23D6"/>
    <w:rsid w:val="2DF92622"/>
    <w:rsid w:val="2E6C4494"/>
    <w:rsid w:val="2EE07091"/>
    <w:rsid w:val="2F774FD1"/>
    <w:rsid w:val="30C5291A"/>
    <w:rsid w:val="30F61FA6"/>
    <w:rsid w:val="32EE6A14"/>
    <w:rsid w:val="35414F6E"/>
    <w:rsid w:val="35C80CF2"/>
    <w:rsid w:val="35E25049"/>
    <w:rsid w:val="37D83F93"/>
    <w:rsid w:val="3B637A44"/>
    <w:rsid w:val="3B714E2B"/>
    <w:rsid w:val="3BF50FD1"/>
    <w:rsid w:val="3D286536"/>
    <w:rsid w:val="3DFD7C24"/>
    <w:rsid w:val="420933C5"/>
    <w:rsid w:val="43EE4295"/>
    <w:rsid w:val="455C571C"/>
    <w:rsid w:val="45B50756"/>
    <w:rsid w:val="45EE77A4"/>
    <w:rsid w:val="4662204A"/>
    <w:rsid w:val="473D00FA"/>
    <w:rsid w:val="4A3A3FF9"/>
    <w:rsid w:val="4B641842"/>
    <w:rsid w:val="4BCF1298"/>
    <w:rsid w:val="4CF374DF"/>
    <w:rsid w:val="4EF10981"/>
    <w:rsid w:val="4F4142E9"/>
    <w:rsid w:val="4FA84F80"/>
    <w:rsid w:val="503C2418"/>
    <w:rsid w:val="505B66C4"/>
    <w:rsid w:val="507F7951"/>
    <w:rsid w:val="50CA3F55"/>
    <w:rsid w:val="57BA431E"/>
    <w:rsid w:val="58BB464E"/>
    <w:rsid w:val="5B7C1133"/>
    <w:rsid w:val="5D944335"/>
    <w:rsid w:val="5FAB6D13"/>
    <w:rsid w:val="60033196"/>
    <w:rsid w:val="600C3FCA"/>
    <w:rsid w:val="60333AF3"/>
    <w:rsid w:val="60EB1994"/>
    <w:rsid w:val="62FB30A8"/>
    <w:rsid w:val="632D49FF"/>
    <w:rsid w:val="64014EE4"/>
    <w:rsid w:val="641A642B"/>
    <w:rsid w:val="64867575"/>
    <w:rsid w:val="6520686C"/>
    <w:rsid w:val="65391752"/>
    <w:rsid w:val="655940E2"/>
    <w:rsid w:val="66E16111"/>
    <w:rsid w:val="67915CE7"/>
    <w:rsid w:val="687F5BE1"/>
    <w:rsid w:val="6B1B5745"/>
    <w:rsid w:val="6B326660"/>
    <w:rsid w:val="6E772370"/>
    <w:rsid w:val="6EC407F2"/>
    <w:rsid w:val="6EEF65B6"/>
    <w:rsid w:val="70C656DF"/>
    <w:rsid w:val="720F16CA"/>
    <w:rsid w:val="75C63D3D"/>
    <w:rsid w:val="75CB4206"/>
    <w:rsid w:val="78A0628C"/>
    <w:rsid w:val="7AA33250"/>
    <w:rsid w:val="7B6D05D3"/>
    <w:rsid w:val="7BA342E6"/>
    <w:rsid w:val="7C1D1A47"/>
    <w:rsid w:val="7C926327"/>
    <w:rsid w:val="7D382FBA"/>
    <w:rsid w:val="7DE50929"/>
    <w:rsid w:val="7E44112A"/>
    <w:rsid w:val="7F4B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5"/>
    <w:qFormat/>
    <w:uiPriority w:val="0"/>
    <w:pPr>
      <w:keepNext/>
      <w:keepLines/>
      <w:numPr>
        <w:ilvl w:val="0"/>
        <w:numId w:val="1"/>
      </w:numPr>
      <w:spacing w:before="340" w:after="330" w:line="576" w:lineRule="auto"/>
      <w:jc w:val="center"/>
      <w:outlineLvl w:val="0"/>
    </w:pPr>
    <w:rPr>
      <w:b/>
      <w:kern w:val="44"/>
      <w:sz w:val="44"/>
    </w:rPr>
  </w:style>
  <w:style w:type="paragraph" w:styleId="3">
    <w:name w:val="heading 2"/>
    <w:basedOn w:val="1"/>
    <w:next w:val="1"/>
    <w:link w:val="308"/>
    <w:qFormat/>
    <w:uiPriority w:val="0"/>
    <w:pPr>
      <w:keepNext/>
      <w:keepLines/>
      <w:spacing w:before="140" w:after="140" w:line="413" w:lineRule="auto"/>
      <w:jc w:val="left"/>
      <w:outlineLvl w:val="1"/>
    </w:pPr>
    <w:rPr>
      <w:rFonts w:ascii="宋体" w:hAnsi="宋体"/>
      <w:b/>
      <w:sz w:val="24"/>
    </w:rPr>
  </w:style>
  <w:style w:type="paragraph" w:styleId="4">
    <w:name w:val="heading 3"/>
    <w:basedOn w:val="1"/>
    <w:next w:val="1"/>
    <w:link w:val="309"/>
    <w:qFormat/>
    <w:uiPriority w:val="0"/>
    <w:pPr>
      <w:keepNext/>
      <w:keepLines/>
      <w:spacing w:before="20" w:after="20" w:line="413" w:lineRule="auto"/>
      <w:outlineLvl w:val="2"/>
    </w:pPr>
    <w:rPr>
      <w:b/>
      <w:sz w:val="24"/>
    </w:rPr>
  </w:style>
  <w:style w:type="paragraph" w:styleId="5">
    <w:name w:val="heading 4"/>
    <w:basedOn w:val="1"/>
    <w:next w:val="1"/>
    <w:link w:val="314"/>
    <w:qFormat/>
    <w:uiPriority w:val="0"/>
    <w:pPr>
      <w:keepNext/>
      <w:keepLines/>
      <w:tabs>
        <w:tab w:val="left" w:pos="864"/>
      </w:tabs>
      <w:snapToGrid w:val="0"/>
      <w:spacing w:line="360" w:lineRule="auto"/>
      <w:ind w:left="864" w:hanging="864"/>
      <w:outlineLvl w:val="3"/>
    </w:pPr>
    <w:rPr>
      <w:rFonts w:ascii="Arial" w:hAnsi="Arial"/>
      <w:b/>
      <w:sz w:val="24"/>
    </w:rPr>
  </w:style>
  <w:style w:type="paragraph" w:styleId="6">
    <w:name w:val="heading 5"/>
    <w:basedOn w:val="1"/>
    <w:next w:val="7"/>
    <w:link w:val="315"/>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link w:val="316"/>
    <w:qFormat/>
    <w:uiPriority w:val="0"/>
    <w:pPr>
      <w:keepNext/>
      <w:keepLines/>
      <w:tabs>
        <w:tab w:val="left" w:pos="1152"/>
      </w:tabs>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317"/>
    <w:qFormat/>
    <w:uiPriority w:val="0"/>
    <w:pPr>
      <w:keepNext/>
      <w:keepLines/>
      <w:tabs>
        <w:tab w:val="left" w:pos="1296"/>
      </w:tabs>
      <w:snapToGrid w:val="0"/>
      <w:spacing w:before="240" w:after="64" w:line="317" w:lineRule="auto"/>
      <w:ind w:left="1296" w:hanging="1296"/>
      <w:outlineLvl w:val="6"/>
    </w:pPr>
    <w:rPr>
      <w:b/>
      <w:sz w:val="24"/>
    </w:rPr>
  </w:style>
  <w:style w:type="paragraph" w:styleId="10">
    <w:name w:val="heading 8"/>
    <w:basedOn w:val="1"/>
    <w:next w:val="1"/>
    <w:link w:val="318"/>
    <w:qFormat/>
    <w:uiPriority w:val="0"/>
    <w:pPr>
      <w:keepNext/>
      <w:keepLines/>
      <w:tabs>
        <w:tab w:val="left" w:pos="1440"/>
      </w:tabs>
      <w:snapToGrid w:val="0"/>
      <w:spacing w:before="240" w:after="64" w:line="317" w:lineRule="auto"/>
      <w:ind w:left="1440" w:hanging="1440"/>
      <w:outlineLvl w:val="7"/>
    </w:pPr>
    <w:rPr>
      <w:rFonts w:ascii="Arial" w:hAnsi="Arial" w:eastAsia="黑体"/>
      <w:sz w:val="24"/>
    </w:rPr>
  </w:style>
  <w:style w:type="paragraph" w:styleId="11">
    <w:name w:val="heading 9"/>
    <w:basedOn w:val="1"/>
    <w:next w:val="1"/>
    <w:link w:val="319"/>
    <w:qFormat/>
    <w:uiPriority w:val="0"/>
    <w:pPr>
      <w:keepNext/>
      <w:keepLines/>
      <w:tabs>
        <w:tab w:val="left" w:pos="1584"/>
      </w:tabs>
      <w:snapToGrid w:val="0"/>
      <w:spacing w:before="240" w:after="64" w:line="317" w:lineRule="auto"/>
      <w:ind w:left="1584" w:hanging="1584"/>
      <w:outlineLvl w:val="8"/>
    </w:pPr>
    <w:rPr>
      <w:rFonts w:ascii="Arial" w:hAnsi="Arial" w:eastAsia="黑体"/>
      <w:sz w:val="24"/>
    </w:rPr>
  </w:style>
  <w:style w:type="character" w:default="1" w:styleId="52">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7">
    <w:name w:val="Normal Indent"/>
    <w:basedOn w:val="1"/>
    <w:link w:val="313"/>
    <w:qFormat/>
    <w:uiPriority w:val="0"/>
    <w:pPr>
      <w:ind w:firstLine="420"/>
    </w:pPr>
  </w:style>
  <w:style w:type="paragraph" w:styleId="12">
    <w:name w:val="toc 7"/>
    <w:basedOn w:val="1"/>
    <w:next w:val="1"/>
    <w:qFormat/>
    <w:uiPriority w:val="0"/>
    <w:pPr>
      <w:spacing w:line="360" w:lineRule="auto"/>
      <w:ind w:left="2520" w:leftChars="1200"/>
    </w:pPr>
  </w:style>
  <w:style w:type="paragraph" w:styleId="13">
    <w:name w:val="List Bullet"/>
    <w:basedOn w:val="1"/>
    <w:qFormat/>
    <w:uiPriority w:val="0"/>
    <w:pPr>
      <w:tabs>
        <w:tab w:val="left" w:pos="360"/>
      </w:tabs>
      <w:ind w:left="1440" w:hanging="360"/>
    </w:pPr>
    <w:rPr>
      <w:szCs w:val="24"/>
    </w:rPr>
  </w:style>
  <w:style w:type="paragraph" w:styleId="14">
    <w:name w:val="Document Map"/>
    <w:basedOn w:val="1"/>
    <w:link w:val="356"/>
    <w:qFormat/>
    <w:uiPriority w:val="0"/>
    <w:pPr>
      <w:shd w:val="clear" w:color="auto" w:fill="000080"/>
    </w:pPr>
  </w:style>
  <w:style w:type="paragraph" w:styleId="15">
    <w:name w:val="annotation text"/>
    <w:basedOn w:val="1"/>
    <w:link w:val="310"/>
    <w:qFormat/>
    <w:uiPriority w:val="99"/>
    <w:pPr>
      <w:adjustRightInd w:val="0"/>
      <w:spacing w:line="360" w:lineRule="atLeast"/>
      <w:jc w:val="left"/>
      <w:textAlignment w:val="baseline"/>
    </w:pPr>
    <w:rPr>
      <w:kern w:val="0"/>
      <w:sz w:val="24"/>
    </w:rPr>
  </w:style>
  <w:style w:type="paragraph" w:styleId="16">
    <w:name w:val="index 6"/>
    <w:basedOn w:val="1"/>
    <w:next w:val="1"/>
    <w:qFormat/>
    <w:uiPriority w:val="0"/>
    <w:pPr>
      <w:ind w:left="1000" w:leftChars="1000"/>
    </w:pPr>
    <w:rPr>
      <w:szCs w:val="24"/>
    </w:rPr>
  </w:style>
  <w:style w:type="paragraph" w:styleId="17">
    <w:name w:val="Body Text 3"/>
    <w:basedOn w:val="1"/>
    <w:qFormat/>
    <w:uiPriority w:val="0"/>
    <w:pPr>
      <w:spacing w:after="120"/>
    </w:pPr>
    <w:rPr>
      <w:sz w:val="16"/>
    </w:rPr>
  </w:style>
  <w:style w:type="paragraph" w:styleId="18">
    <w:name w:val="Body Text"/>
    <w:basedOn w:val="1"/>
    <w:link w:val="311"/>
    <w:qFormat/>
    <w:uiPriority w:val="99"/>
    <w:pPr>
      <w:spacing w:after="120" w:line="360" w:lineRule="auto"/>
    </w:pPr>
  </w:style>
  <w:style w:type="paragraph" w:styleId="19">
    <w:name w:val="Body Text Indent"/>
    <w:basedOn w:val="1"/>
    <w:link w:val="335"/>
    <w:qFormat/>
    <w:uiPriority w:val="0"/>
    <w:pPr>
      <w:spacing w:line="400" w:lineRule="exact"/>
      <w:ind w:left="1050" w:leftChars="150" w:hanging="735" w:hangingChars="350"/>
    </w:pPr>
  </w:style>
  <w:style w:type="paragraph" w:styleId="20">
    <w:name w:val="Block Text"/>
    <w:basedOn w:val="1"/>
    <w:qFormat/>
    <w:uiPriority w:val="0"/>
    <w:pPr>
      <w:ind w:left="13" w:leftChars="6" w:right="13" w:firstLine="640" w:firstLineChars="200"/>
    </w:pPr>
    <w:rPr>
      <w:rFonts w:ascii="新宋体" w:hAnsi="新宋体" w:eastAsia="新宋体"/>
      <w:sz w:val="32"/>
    </w:rPr>
  </w:style>
  <w:style w:type="paragraph" w:styleId="21">
    <w:name w:val="toc 5"/>
    <w:basedOn w:val="1"/>
    <w:next w:val="1"/>
    <w:qFormat/>
    <w:uiPriority w:val="0"/>
    <w:pPr>
      <w:spacing w:line="360" w:lineRule="auto"/>
      <w:ind w:left="1680" w:leftChars="800"/>
    </w:pPr>
  </w:style>
  <w:style w:type="paragraph" w:styleId="22">
    <w:name w:val="toc 3"/>
    <w:basedOn w:val="1"/>
    <w:next w:val="1"/>
    <w:qFormat/>
    <w:uiPriority w:val="39"/>
    <w:pPr>
      <w:ind w:left="420"/>
    </w:pPr>
  </w:style>
  <w:style w:type="paragraph" w:styleId="23">
    <w:name w:val="Plain Text"/>
    <w:basedOn w:val="1"/>
    <w:link w:val="307"/>
    <w:qFormat/>
    <w:uiPriority w:val="0"/>
    <w:rPr>
      <w:rFonts w:ascii="宋体" w:hAnsi="Courier New"/>
    </w:rPr>
  </w:style>
  <w:style w:type="paragraph" w:styleId="24">
    <w:name w:val="toc 8"/>
    <w:basedOn w:val="1"/>
    <w:next w:val="1"/>
    <w:qFormat/>
    <w:uiPriority w:val="0"/>
    <w:pPr>
      <w:spacing w:line="360" w:lineRule="auto"/>
      <w:ind w:left="2940" w:leftChars="1400"/>
    </w:pPr>
  </w:style>
  <w:style w:type="paragraph" w:styleId="25">
    <w:name w:val="Date"/>
    <w:basedOn w:val="1"/>
    <w:next w:val="1"/>
    <w:link w:val="340"/>
    <w:qFormat/>
    <w:uiPriority w:val="0"/>
    <w:pPr>
      <w:ind w:left="100" w:leftChars="2500"/>
    </w:pPr>
  </w:style>
  <w:style w:type="paragraph" w:styleId="26">
    <w:name w:val="Body Text Indent 2"/>
    <w:basedOn w:val="1"/>
    <w:link w:val="362"/>
    <w:qFormat/>
    <w:uiPriority w:val="0"/>
    <w:pPr>
      <w:spacing w:after="120" w:line="480" w:lineRule="auto"/>
      <w:ind w:left="420" w:leftChars="200"/>
    </w:pPr>
  </w:style>
  <w:style w:type="paragraph" w:styleId="27">
    <w:name w:val="Balloon Text"/>
    <w:basedOn w:val="1"/>
    <w:link w:val="333"/>
    <w:qFormat/>
    <w:uiPriority w:val="0"/>
    <w:pPr>
      <w:spacing w:line="360" w:lineRule="auto"/>
    </w:pPr>
    <w:rPr>
      <w:sz w:val="18"/>
    </w:rPr>
  </w:style>
  <w:style w:type="paragraph" w:styleId="28">
    <w:name w:val="footer"/>
    <w:basedOn w:val="1"/>
    <w:link w:val="304"/>
    <w:qFormat/>
    <w:uiPriority w:val="99"/>
    <w:pPr>
      <w:tabs>
        <w:tab w:val="center" w:pos="4153"/>
        <w:tab w:val="right" w:pos="8306"/>
      </w:tabs>
      <w:snapToGrid w:val="0"/>
      <w:jc w:val="left"/>
    </w:pPr>
    <w:rPr>
      <w:sz w:val="18"/>
    </w:rPr>
  </w:style>
  <w:style w:type="paragraph" w:styleId="29">
    <w:name w:val="header"/>
    <w:basedOn w:val="1"/>
    <w:link w:val="303"/>
    <w:qFormat/>
    <w:uiPriority w:val="0"/>
    <w:pPr>
      <w:pBdr>
        <w:bottom w:val="single" w:color="auto" w:sz="6" w:space="1"/>
      </w:pBdr>
      <w:tabs>
        <w:tab w:val="center" w:pos="4153"/>
        <w:tab w:val="right" w:pos="8306"/>
      </w:tabs>
      <w:snapToGrid w:val="0"/>
      <w:jc w:val="center"/>
    </w:pPr>
    <w:rPr>
      <w:sz w:val="18"/>
    </w:rPr>
  </w:style>
  <w:style w:type="paragraph" w:styleId="30">
    <w:name w:val="Signature"/>
    <w:basedOn w:val="1"/>
    <w:link w:val="327"/>
    <w:qFormat/>
    <w:uiPriority w:val="0"/>
    <w:pPr>
      <w:adjustRightInd w:val="0"/>
      <w:spacing w:after="600" w:line="312" w:lineRule="atLeast"/>
      <w:jc w:val="center"/>
      <w:textAlignment w:val="baseline"/>
    </w:pPr>
    <w:rPr>
      <w:rFonts w:eastAsia="仿宋_GB2312"/>
      <w:kern w:val="0"/>
      <w:sz w:val="24"/>
    </w:rPr>
  </w:style>
  <w:style w:type="paragraph" w:styleId="31">
    <w:name w:val="toc 1"/>
    <w:basedOn w:val="1"/>
    <w:next w:val="1"/>
    <w:qFormat/>
    <w:uiPriority w:val="39"/>
  </w:style>
  <w:style w:type="paragraph" w:styleId="32">
    <w:name w:val="toc 4"/>
    <w:basedOn w:val="1"/>
    <w:next w:val="1"/>
    <w:qFormat/>
    <w:uiPriority w:val="0"/>
    <w:pPr>
      <w:widowControl/>
      <w:spacing w:line="460" w:lineRule="exact"/>
      <w:ind w:left="600" w:firstLine="200" w:firstLineChars="200"/>
      <w:jc w:val="left"/>
    </w:pPr>
    <w:rPr>
      <w:kern w:val="0"/>
      <w:sz w:val="24"/>
    </w:rPr>
  </w:style>
  <w:style w:type="paragraph" w:styleId="33">
    <w:name w:val="List"/>
    <w:basedOn w:val="1"/>
    <w:qFormat/>
    <w:uiPriority w:val="0"/>
    <w:pPr>
      <w:spacing w:line="360" w:lineRule="auto"/>
      <w:ind w:left="420" w:hanging="420"/>
    </w:pPr>
    <w:rPr>
      <w:rFonts w:ascii="Arial" w:hAnsi="Arial" w:eastAsia="楷体_GB2312"/>
      <w:sz w:val="24"/>
    </w:rPr>
  </w:style>
  <w:style w:type="paragraph" w:styleId="34">
    <w:name w:val="footnote text"/>
    <w:basedOn w:val="1"/>
    <w:qFormat/>
    <w:uiPriority w:val="0"/>
    <w:pPr>
      <w:adjustRightInd w:val="0"/>
      <w:spacing w:line="312" w:lineRule="atLeast"/>
      <w:jc w:val="left"/>
      <w:textAlignment w:val="baseline"/>
    </w:pPr>
    <w:rPr>
      <w:kern w:val="0"/>
      <w:sz w:val="18"/>
    </w:rPr>
  </w:style>
  <w:style w:type="paragraph" w:styleId="35">
    <w:name w:val="toc 6"/>
    <w:basedOn w:val="1"/>
    <w:next w:val="1"/>
    <w:qFormat/>
    <w:uiPriority w:val="0"/>
    <w:pPr>
      <w:spacing w:line="360" w:lineRule="auto"/>
      <w:ind w:left="2100" w:leftChars="1000"/>
    </w:pPr>
  </w:style>
  <w:style w:type="paragraph" w:styleId="36">
    <w:name w:val="Body Text Indent 3"/>
    <w:basedOn w:val="1"/>
    <w:link w:val="331"/>
    <w:qFormat/>
    <w:uiPriority w:val="0"/>
    <w:pPr>
      <w:spacing w:after="120"/>
      <w:ind w:left="420" w:leftChars="200"/>
    </w:pPr>
    <w:rPr>
      <w:sz w:val="16"/>
      <w:szCs w:val="16"/>
    </w:rPr>
  </w:style>
  <w:style w:type="paragraph" w:styleId="37">
    <w:name w:val="toc 2"/>
    <w:basedOn w:val="1"/>
    <w:next w:val="1"/>
    <w:qFormat/>
    <w:uiPriority w:val="39"/>
    <w:pPr>
      <w:ind w:left="210"/>
    </w:pPr>
  </w:style>
  <w:style w:type="paragraph" w:styleId="38">
    <w:name w:val="toc 9"/>
    <w:basedOn w:val="1"/>
    <w:next w:val="1"/>
    <w:qFormat/>
    <w:uiPriority w:val="0"/>
    <w:pPr>
      <w:spacing w:line="360" w:lineRule="auto"/>
      <w:ind w:left="3360" w:leftChars="1600"/>
    </w:pPr>
  </w:style>
  <w:style w:type="paragraph" w:styleId="39">
    <w:name w:val="Body Text 2"/>
    <w:basedOn w:val="1"/>
    <w:qFormat/>
    <w:uiPriority w:val="0"/>
    <w:pPr>
      <w:adjustRightInd w:val="0"/>
      <w:spacing w:line="360" w:lineRule="atLeast"/>
    </w:pPr>
    <w:rPr>
      <w:rFonts w:ascii="Arial" w:hAnsi="Arial"/>
      <w:kern w:val="0"/>
      <w:sz w:val="24"/>
    </w:rPr>
  </w:style>
  <w:style w:type="paragraph" w:styleId="40">
    <w:name w:val="Message Header"/>
    <w:basedOn w:val="1"/>
    <w:link w:val="33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41">
    <w:name w:val="HTML Preformatted"/>
    <w:basedOn w:val="1"/>
    <w:qFormat/>
    <w:uiPriority w:val="0"/>
    <w:rPr>
      <w:rFonts w:ascii="Courier New" w:hAnsi="Courier New"/>
      <w:sz w:val="20"/>
    </w:rPr>
  </w:style>
  <w:style w:type="paragraph" w:styleId="42">
    <w:name w:val="Normal (Web)"/>
    <w:basedOn w:val="1"/>
    <w:qFormat/>
    <w:uiPriority w:val="0"/>
    <w:rPr>
      <w:sz w:val="24"/>
    </w:rPr>
  </w:style>
  <w:style w:type="paragraph" w:styleId="43">
    <w:name w:val="index 1"/>
    <w:basedOn w:val="1"/>
    <w:next w:val="1"/>
    <w:qFormat/>
    <w:uiPriority w:val="0"/>
  </w:style>
  <w:style w:type="paragraph" w:styleId="44">
    <w:name w:val="Title"/>
    <w:basedOn w:val="1"/>
    <w:link w:val="334"/>
    <w:qFormat/>
    <w:uiPriority w:val="10"/>
    <w:pPr>
      <w:numPr>
        <w:ilvl w:val="1"/>
        <w:numId w:val="2"/>
      </w:numPr>
      <w:tabs>
        <w:tab w:val="left" w:pos="992"/>
        <w:tab w:val="clear" w:pos="720"/>
      </w:tabs>
      <w:spacing w:before="240" w:after="60"/>
      <w:jc w:val="center"/>
      <w:outlineLvl w:val="0"/>
    </w:pPr>
    <w:rPr>
      <w:rFonts w:ascii="Arial" w:hAnsi="Arial"/>
      <w:b/>
      <w:bCs/>
      <w:sz w:val="32"/>
      <w:szCs w:val="32"/>
    </w:rPr>
  </w:style>
  <w:style w:type="paragraph" w:styleId="45">
    <w:name w:val="annotation subject"/>
    <w:basedOn w:val="15"/>
    <w:next w:val="15"/>
    <w:link w:val="348"/>
    <w:qFormat/>
    <w:uiPriority w:val="0"/>
    <w:pPr>
      <w:adjustRightInd/>
      <w:spacing w:line="240" w:lineRule="auto"/>
      <w:textAlignment w:val="auto"/>
    </w:pPr>
    <w:rPr>
      <w:b/>
      <w:kern w:val="2"/>
      <w:sz w:val="21"/>
    </w:rPr>
  </w:style>
  <w:style w:type="paragraph" w:styleId="46">
    <w:name w:val="Body Text First Indent"/>
    <w:basedOn w:val="18"/>
    <w:link w:val="359"/>
    <w:qFormat/>
    <w:uiPriority w:val="0"/>
    <w:pPr>
      <w:spacing w:line="240" w:lineRule="auto"/>
      <w:ind w:firstLine="420" w:firstLineChars="100"/>
    </w:pPr>
    <w:rPr>
      <w:szCs w:val="24"/>
    </w:rPr>
  </w:style>
  <w:style w:type="paragraph" w:styleId="47">
    <w:name w:val="Body Text First Indent 2"/>
    <w:basedOn w:val="19"/>
    <w:link w:val="388"/>
    <w:semiHidden/>
    <w:unhideWhenUsed/>
    <w:uiPriority w:val="99"/>
    <w:pPr>
      <w:spacing w:after="120" w:line="240" w:lineRule="auto"/>
      <w:ind w:left="420" w:leftChars="200" w:firstLine="420" w:firstLineChars="200"/>
    </w:pPr>
  </w:style>
  <w:style w:type="table" w:styleId="49">
    <w:name w:val="Table Grid"/>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Light List Accent 5"/>
    <w:basedOn w:val="48"/>
    <w:qFormat/>
    <w:uiPriority w:val="0"/>
    <w:rPr>
      <w:rFonts w:ascii="Calibri" w:hAnsi="Calibri"/>
      <w:kern w:val="2"/>
      <w:sz w:val="21"/>
      <w:szCs w:val="24"/>
    </w:rPr>
    <w:tblPr>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color="4472C4" w:sz="6" w:space="0"/>
          <w:left w:val="single" w:color="4472C4" w:sz="8" w:space="0"/>
          <w:bottom w:val="single" w:color="4472C4" w:sz="8" w:space="0"/>
          <w:right w:val="single" w:color="4472C4"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tblStylePr w:type="band1Horz">
      <w:tblPr/>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style>
  <w:style w:type="table" w:styleId="51">
    <w:name w:val="Colorful List Accent 1"/>
    <w:basedOn w:val="48"/>
    <w:qFormat/>
    <w:uiPriority w:val="0"/>
    <w:rPr>
      <w:kern w:val="2"/>
      <w:sz w:val="21"/>
      <w:szCs w:val="22"/>
    </w:rPr>
    <w:tblPr>
      <w:tblStyleRowBandSize w:val="1"/>
      <w:tblStyleColBandSize w:val="1"/>
    </w:tblPr>
    <w:tcPr>
      <w:shd w:val="clear" w:color="auto" w:fill="EDF2F8"/>
    </w:tcPr>
    <w:tblStylePr w:type="firstRow">
      <w:rPr>
        <w:b/>
        <w:bCs/>
        <w:color w:val="FFFFFF"/>
      </w:rPr>
      <w:tblPr/>
      <w:tcPr>
        <w:tcBorders>
          <w:top w:val="nil"/>
          <w:left w:val="single" w:color="CCE8CF" w:sz="12" w:space="0"/>
          <w:bottom w:val="nil"/>
          <w:right w:val="nil"/>
          <w:insideH w:val="nil"/>
          <w:insideV w:val="nil"/>
          <w:tl2br w:val="nil"/>
          <w:tr2bl w:val="nil"/>
        </w:tcBorders>
        <w:shd w:val="clear" w:color="auto" w:fill="9E3A38"/>
      </w:tcPr>
    </w:tblStylePr>
    <w:tblStylePr w:type="lastRow">
      <w:rPr>
        <w:b/>
        <w:bCs/>
        <w:color w:val="9E3A38"/>
      </w:rPr>
      <w:tblPr/>
      <w:tcPr>
        <w:tcBorders>
          <w:top w:val="single" w:color="auto" w:sz="12" w:space="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53">
    <w:name w:val="Strong"/>
    <w:qFormat/>
    <w:uiPriority w:val="0"/>
    <w:rPr>
      <w:rFonts w:ascii="Times New Roman" w:hAnsi="Times New Roman" w:eastAsia="宋体" w:cs="Times New Roman"/>
      <w:b/>
    </w:rPr>
  </w:style>
  <w:style w:type="character" w:styleId="54">
    <w:name w:val="page number"/>
    <w:qFormat/>
    <w:uiPriority w:val="0"/>
    <w:rPr>
      <w:rFonts w:ascii="Times New Roman" w:hAnsi="Times New Roman" w:eastAsia="宋体" w:cs="Times New Roman"/>
    </w:rPr>
  </w:style>
  <w:style w:type="character" w:styleId="55">
    <w:name w:val="FollowedHyperlink"/>
    <w:qFormat/>
    <w:uiPriority w:val="0"/>
    <w:rPr>
      <w:rFonts w:ascii="Times New Roman" w:hAnsi="Times New Roman" w:eastAsia="宋体" w:cs="Times New Roman"/>
      <w:color w:val="800080"/>
      <w:u w:val="single"/>
    </w:rPr>
  </w:style>
  <w:style w:type="character" w:styleId="56">
    <w:name w:val="Emphasis"/>
    <w:qFormat/>
    <w:uiPriority w:val="0"/>
    <w:rPr>
      <w:rFonts w:ascii="Times New Roman" w:hAnsi="Times New Roman" w:eastAsia="宋体" w:cs="Times New Roman"/>
      <w:i/>
      <w:iCs/>
    </w:rPr>
  </w:style>
  <w:style w:type="character" w:styleId="57">
    <w:name w:val="Hyperlink"/>
    <w:qFormat/>
    <w:uiPriority w:val="99"/>
    <w:rPr>
      <w:rFonts w:ascii="Times New Roman" w:hAnsi="Times New Roman" w:eastAsia="宋体" w:cs="Times New Roman"/>
      <w:color w:val="0000FF"/>
      <w:u w:val="single"/>
    </w:rPr>
  </w:style>
  <w:style w:type="character" w:styleId="58">
    <w:name w:val="annotation reference"/>
    <w:qFormat/>
    <w:uiPriority w:val="99"/>
    <w:rPr>
      <w:rFonts w:ascii="Times New Roman" w:hAnsi="Times New Roman" w:eastAsia="宋体" w:cs="Times New Roman"/>
      <w:sz w:val="21"/>
    </w:rPr>
  </w:style>
  <w:style w:type="character" w:styleId="59">
    <w:name w:val="footnote reference"/>
    <w:qFormat/>
    <w:uiPriority w:val="0"/>
    <w:rPr>
      <w:rFonts w:ascii="Times New Roman" w:hAnsi="Times New Roman" w:eastAsia="宋体" w:cs="Times New Roman"/>
      <w:vertAlign w:val="superscript"/>
    </w:rPr>
  </w:style>
  <w:style w:type="paragraph" w:customStyle="1" w:styleId="60">
    <w:name w:val="_Style 58"/>
    <w:basedOn w:val="2"/>
    <w:next w:val="1"/>
    <w:qFormat/>
    <w:uiPriority w:val="0"/>
    <w:pPr>
      <w:widowControl/>
      <w:numPr>
        <w:numId w:val="0"/>
      </w:numPr>
      <w:spacing w:before="480" w:after="0" w:line="276" w:lineRule="auto"/>
      <w:jc w:val="left"/>
      <w:outlineLvl w:val="9"/>
    </w:pPr>
    <w:rPr>
      <w:rFonts w:ascii="Cambria" w:hAnsi="Cambria"/>
      <w:bCs/>
      <w:color w:val="365F91"/>
      <w:kern w:val="0"/>
      <w:sz w:val="28"/>
      <w:szCs w:val="28"/>
    </w:rPr>
  </w:style>
  <w:style w:type="paragraph" w:styleId="61">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62">
    <w:name w:val="Default"/>
    <w:qFormat/>
    <w:uiPriority w:val="0"/>
    <w:pPr>
      <w:widowControl w:val="0"/>
      <w:autoSpaceDE w:val="0"/>
      <w:autoSpaceDN w:val="0"/>
      <w:adjustRightInd w:val="0"/>
    </w:pPr>
    <w:rPr>
      <w:rFonts w:ascii="黑体" w:hAnsi="Times New Roman" w:eastAsia="黑体" w:cs="Times New Roman"/>
      <w:color w:val="000000"/>
      <w:sz w:val="24"/>
      <w:lang w:val="en-US" w:eastAsia="zh-CN" w:bidi="ar-SA"/>
    </w:rPr>
  </w:style>
  <w:style w:type="paragraph" w:styleId="63">
    <w:name w:val="List Paragraph"/>
    <w:basedOn w:val="1"/>
    <w:link w:val="312"/>
    <w:qFormat/>
    <w:uiPriority w:val="99"/>
    <w:pPr>
      <w:spacing w:line="360" w:lineRule="auto"/>
      <w:ind w:firstLine="420" w:firstLineChars="200"/>
    </w:pPr>
    <w:rPr>
      <w:rFonts w:ascii="Calibri" w:hAnsi="Calibri"/>
    </w:rPr>
  </w:style>
  <w:style w:type="paragraph" w:customStyle="1" w:styleId="64">
    <w:name w:val="正文格式"/>
    <w:basedOn w:val="1"/>
    <w:link w:val="322"/>
    <w:qFormat/>
    <w:uiPriority w:val="0"/>
    <w:pPr>
      <w:widowControl/>
      <w:suppressAutoHyphens/>
      <w:snapToGrid w:val="0"/>
      <w:spacing w:line="360" w:lineRule="auto"/>
      <w:ind w:firstLine="482"/>
      <w:textAlignment w:val="baseline"/>
    </w:pPr>
    <w:rPr>
      <w:rFonts w:ascii="Verdana" w:hAnsi="Verdana"/>
      <w:kern w:val="28"/>
      <w:sz w:val="24"/>
      <w:szCs w:val="24"/>
      <w:lang w:eastAsia="ar-SA"/>
    </w:rPr>
  </w:style>
  <w:style w:type="paragraph" w:customStyle="1" w:styleId="65">
    <w:name w:val="标准正文"/>
    <w:basedOn w:val="19"/>
    <w:link w:val="336"/>
    <w:qFormat/>
    <w:uiPriority w:val="0"/>
    <w:pPr>
      <w:spacing w:before="60" w:after="60" w:line="360" w:lineRule="auto"/>
      <w:ind w:left="0" w:leftChars="0" w:firstLine="482" w:firstLineChars="0"/>
    </w:pPr>
    <w:rPr>
      <w:sz w:val="24"/>
    </w:rPr>
  </w:style>
  <w:style w:type="paragraph" w:customStyle="1" w:styleId="66">
    <w:name w:val="标准文本"/>
    <w:basedOn w:val="1"/>
    <w:link w:val="337"/>
    <w:qFormat/>
    <w:uiPriority w:val="0"/>
    <w:pPr>
      <w:spacing w:line="360" w:lineRule="auto"/>
      <w:ind w:firstLine="480" w:firstLineChars="200"/>
    </w:pPr>
    <w:rPr>
      <w:sz w:val="24"/>
    </w:rPr>
  </w:style>
  <w:style w:type="paragraph" w:customStyle="1" w:styleId="67">
    <w:name w:val="标书-正文"/>
    <w:basedOn w:val="1"/>
    <w:link w:val="342"/>
    <w:qFormat/>
    <w:uiPriority w:val="0"/>
    <w:pPr>
      <w:spacing w:before="56" w:after="113" w:line="300" w:lineRule="auto"/>
      <w:ind w:firstLine="200" w:firstLineChars="200"/>
      <w:jc w:val="left"/>
    </w:pPr>
    <w:rPr>
      <w:rFonts w:ascii="Arial" w:hAnsi="Arial"/>
    </w:rPr>
  </w:style>
  <w:style w:type="paragraph" w:customStyle="1" w:styleId="68">
    <w:name w:val="样式 首行缩进:  2 字符 + 宋体"/>
    <w:basedOn w:val="1"/>
    <w:link w:val="347"/>
    <w:qFormat/>
    <w:uiPriority w:val="0"/>
    <w:pPr>
      <w:spacing w:line="360" w:lineRule="auto"/>
      <w:ind w:firstLine="200" w:firstLineChars="200"/>
    </w:pPr>
    <w:rPr>
      <w:rFonts w:ascii="宋体" w:hAnsi="宋体"/>
      <w:sz w:val="24"/>
    </w:rPr>
  </w:style>
  <w:style w:type="paragraph" w:customStyle="1" w:styleId="69">
    <w:name w:val="列出段落1"/>
    <w:basedOn w:val="1"/>
    <w:link w:val="358"/>
    <w:qFormat/>
    <w:uiPriority w:val="0"/>
    <w:pPr>
      <w:ind w:firstLine="420" w:firstLineChars="200"/>
    </w:pPr>
    <w:rPr>
      <w:rFonts w:ascii="Calibri" w:hAnsi="Calibri"/>
      <w:szCs w:val="22"/>
    </w:rPr>
  </w:style>
  <w:style w:type="paragraph" w:customStyle="1" w:styleId="70">
    <w:name w:val="_Style 282"/>
    <w:basedOn w:val="1"/>
    <w:next w:val="63"/>
    <w:link w:val="364"/>
    <w:qFormat/>
    <w:uiPriority w:val="0"/>
    <w:pPr>
      <w:ind w:firstLine="420" w:firstLineChars="200"/>
    </w:pPr>
    <w:rPr>
      <w:rFonts w:ascii="Calibri" w:hAnsi="Calibri"/>
      <w:szCs w:val="22"/>
    </w:rPr>
  </w:style>
  <w:style w:type="paragraph" w:customStyle="1" w:styleId="71">
    <w:name w:val="段落正文"/>
    <w:basedOn w:val="1"/>
    <w:link w:val="367"/>
    <w:qFormat/>
    <w:uiPriority w:val="0"/>
    <w:pPr>
      <w:spacing w:beforeLines="50" w:line="360" w:lineRule="auto"/>
      <w:ind w:firstLine="200" w:firstLineChars="200"/>
    </w:pPr>
    <w:rPr>
      <w:spacing w:val="2"/>
      <w:sz w:val="24"/>
      <w:szCs w:val="24"/>
      <w:lang w:val="zh-CN"/>
    </w:rPr>
  </w:style>
  <w:style w:type="paragraph" w:customStyle="1" w:styleId="72">
    <w:name w:val="样式3"/>
    <w:basedOn w:val="4"/>
    <w:next w:val="4"/>
    <w:qFormat/>
    <w:uiPriority w:val="0"/>
    <w:pPr>
      <w:numPr>
        <w:ilvl w:val="2"/>
        <w:numId w:val="3"/>
      </w:numPr>
      <w:tabs>
        <w:tab w:val="left" w:pos="720"/>
        <w:tab w:val="left" w:pos="2069"/>
        <w:tab w:val="clear" w:pos="1134"/>
      </w:tabs>
      <w:autoSpaceDE w:val="0"/>
      <w:autoSpaceDN w:val="0"/>
      <w:adjustRightInd w:val="0"/>
      <w:spacing w:before="120" w:after="120" w:line="240" w:lineRule="exact"/>
      <w:ind w:right="17"/>
      <w:jc w:val="left"/>
    </w:pPr>
    <w:rPr>
      <w:bCs/>
      <w:sz w:val="21"/>
      <w:szCs w:val="21"/>
    </w:rPr>
  </w:style>
  <w:style w:type="paragraph" w:customStyle="1" w:styleId="73">
    <w:name w:val="xl73"/>
    <w:basedOn w:val="1"/>
    <w:qFormat/>
    <w:uiPriority w:val="0"/>
    <w:pPr>
      <w:widowControl/>
      <w:pBdr>
        <w:left w:val="single" w:color="auto" w:sz="8" w:space="0"/>
        <w:right w:val="single" w:color="auto" w:sz="8"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74">
    <w:name w:val="xl150"/>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5">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7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7">
    <w:name w:val="Char1 Char Char Char"/>
    <w:basedOn w:val="1"/>
    <w:qFormat/>
    <w:uiPriority w:val="0"/>
    <w:pPr>
      <w:tabs>
        <w:tab w:val="left" w:pos="420"/>
      </w:tabs>
      <w:ind w:left="420" w:hanging="420"/>
    </w:pPr>
    <w:rPr>
      <w:rFonts w:ascii="Tahoma" w:hAnsi="Tahoma"/>
      <w:sz w:val="28"/>
    </w:rPr>
  </w:style>
  <w:style w:type="paragraph" w:customStyle="1" w:styleId="78">
    <w:name w:val="xl6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9">
    <w:name w:val="xl144"/>
    <w:basedOn w:val="1"/>
    <w:qFormat/>
    <w:uiPriority w:val="0"/>
    <w:pPr>
      <w:widowControl/>
      <w:pBdr>
        <w:right w:val="single" w:color="auto" w:sz="8" w:space="0"/>
      </w:pBdr>
      <w:spacing w:before="100" w:beforeAutospacing="1" w:after="100" w:afterAutospacing="1"/>
    </w:pPr>
    <w:rPr>
      <w:rFonts w:ascii="新宋体" w:hAnsi="新宋体" w:eastAsia="新宋体" w:cs="宋体"/>
      <w:color w:val="FF0000"/>
      <w:kern w:val="0"/>
      <w:szCs w:val="21"/>
    </w:rPr>
  </w:style>
  <w:style w:type="paragraph" w:customStyle="1" w:styleId="80">
    <w:name w:val="xl97"/>
    <w:basedOn w:val="1"/>
    <w:qFormat/>
    <w:uiPriority w:val="0"/>
    <w:pPr>
      <w:widowControl/>
      <w:pBdr>
        <w:right w:val="single" w:color="auto" w:sz="8" w:space="0"/>
      </w:pBdr>
      <w:spacing w:before="100" w:beforeAutospacing="1" w:after="100" w:afterAutospacing="1"/>
    </w:pPr>
    <w:rPr>
      <w:rFonts w:ascii="Arial" w:hAnsi="Arial" w:cs="Arial"/>
      <w:kern w:val="0"/>
      <w:szCs w:val="21"/>
    </w:rPr>
  </w:style>
  <w:style w:type="paragraph" w:customStyle="1" w:styleId="81">
    <w:name w:val="xl14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82">
    <w:name w:val="font21"/>
    <w:basedOn w:val="1"/>
    <w:qFormat/>
    <w:uiPriority w:val="0"/>
    <w:pPr>
      <w:widowControl/>
      <w:spacing w:before="100" w:beforeAutospacing="1" w:after="100" w:afterAutospacing="1"/>
      <w:jc w:val="left"/>
    </w:pPr>
    <w:rPr>
      <w:rFonts w:ascii="宋体" w:hAnsi="宋体" w:cs="宋体"/>
      <w:color w:val="FF0000"/>
      <w:kern w:val="0"/>
      <w:szCs w:val="21"/>
      <w:u w:val="single"/>
    </w:rPr>
  </w:style>
  <w:style w:type="paragraph" w:customStyle="1" w:styleId="83">
    <w:name w:val="font14"/>
    <w:basedOn w:val="1"/>
    <w:qFormat/>
    <w:uiPriority w:val="0"/>
    <w:pPr>
      <w:widowControl/>
      <w:spacing w:before="100" w:beforeAutospacing="1" w:after="100" w:afterAutospacing="1"/>
      <w:jc w:val="left"/>
    </w:pPr>
    <w:rPr>
      <w:rFonts w:ascii="Arial" w:hAnsi="Arial" w:cs="Arial"/>
      <w:color w:val="000000"/>
      <w:kern w:val="0"/>
      <w:szCs w:val="21"/>
    </w:rPr>
  </w:style>
  <w:style w:type="paragraph" w:customStyle="1" w:styleId="84">
    <w:name w:val="正文2"/>
    <w:basedOn w:val="1"/>
    <w:link w:val="376"/>
    <w:qFormat/>
    <w:uiPriority w:val="0"/>
    <w:pPr>
      <w:spacing w:before="156" w:line="360" w:lineRule="auto"/>
      <w:ind w:firstLine="510" w:firstLineChars="200"/>
    </w:pPr>
    <w:rPr>
      <w:sz w:val="24"/>
    </w:rPr>
  </w:style>
  <w:style w:type="paragraph" w:customStyle="1" w:styleId="85">
    <w:name w:val="xl146"/>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86">
    <w:name w:val="xl130"/>
    <w:basedOn w:val="1"/>
    <w:qFormat/>
    <w:uiPriority w:val="0"/>
    <w:pPr>
      <w:widowControl/>
      <w:pBdr>
        <w:left w:val="single" w:color="auto" w:sz="8" w:space="0"/>
        <w:right w:val="single" w:color="auto" w:sz="8" w:space="0"/>
      </w:pBdr>
      <w:spacing w:before="100" w:beforeAutospacing="1" w:after="100" w:afterAutospacing="1"/>
      <w:jc w:val="left"/>
    </w:pPr>
    <w:rPr>
      <w:rFonts w:ascii="Arial" w:hAnsi="Arial" w:cs="Arial"/>
      <w:color w:val="FF0000"/>
      <w:kern w:val="0"/>
      <w:szCs w:val="21"/>
    </w:rPr>
  </w:style>
  <w:style w:type="paragraph" w:customStyle="1" w:styleId="87">
    <w:name w:val="xl86"/>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Cambria" w:hAnsi="Cambria" w:cs="宋体"/>
      <w:color w:val="FF0000"/>
      <w:kern w:val="0"/>
      <w:szCs w:val="21"/>
    </w:rPr>
  </w:style>
  <w:style w:type="paragraph" w:customStyle="1" w:styleId="88">
    <w:name w:val="xl7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89">
    <w:name w:val="Char Char Char1 Char Char Char Char"/>
    <w:basedOn w:val="1"/>
    <w:qFormat/>
    <w:uiPriority w:val="0"/>
    <w:rPr>
      <w:rFonts w:ascii="Tahoma" w:hAnsi="Tahoma"/>
      <w:sz w:val="24"/>
    </w:rPr>
  </w:style>
  <w:style w:type="paragraph" w:customStyle="1" w:styleId="90">
    <w:name w:val="xl124"/>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pPr>
    <w:rPr>
      <w:rFonts w:ascii="宋体" w:hAnsi="宋体" w:cs="宋体"/>
      <w:kern w:val="0"/>
      <w:szCs w:val="21"/>
    </w:rPr>
  </w:style>
  <w:style w:type="paragraph" w:customStyle="1" w:styleId="91">
    <w:name w:val="Char Char Char 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eastAsia="仿宋_GB2312"/>
      <w:sz w:val="32"/>
      <w:szCs w:val="32"/>
    </w:rPr>
  </w:style>
  <w:style w:type="paragraph" w:customStyle="1" w:styleId="92">
    <w:name w:val="font18"/>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93">
    <w:name w:val="Table"/>
    <w:qFormat/>
    <w:uiPriority w:val="0"/>
    <w:rPr>
      <w:rFonts w:ascii="Times New Roman" w:hAnsi="Times New Roman" w:eastAsia="宋体" w:cs="Times New Roman"/>
      <w:sz w:val="21"/>
      <w:lang w:val="en-US" w:eastAsia="en-US" w:bidi="ar-SA"/>
    </w:rPr>
  </w:style>
  <w:style w:type="paragraph" w:customStyle="1" w:styleId="94">
    <w:name w:val="0"/>
    <w:basedOn w:val="1"/>
    <w:qFormat/>
    <w:uiPriority w:val="0"/>
    <w:pPr>
      <w:widowControl/>
      <w:snapToGrid w:val="0"/>
    </w:pPr>
    <w:rPr>
      <w:rFonts w:eastAsia="Arial Unicode MS"/>
      <w:kern w:val="0"/>
    </w:rPr>
  </w:style>
  <w:style w:type="paragraph" w:customStyle="1" w:styleId="95">
    <w:name w:val="Char Char 字元 字元 字元 Char Char Char Char"/>
    <w:basedOn w:val="1"/>
    <w:qFormat/>
    <w:uiPriority w:val="0"/>
    <w:pPr>
      <w:adjustRightInd w:val="0"/>
      <w:spacing w:line="360" w:lineRule="auto"/>
    </w:pPr>
    <w:rPr>
      <w:kern w:val="0"/>
      <w:sz w:val="24"/>
    </w:rPr>
  </w:style>
  <w:style w:type="paragraph" w:customStyle="1" w:styleId="96">
    <w:name w:val="Char Char1 Char Char Char Char Char Char Char Char Char Char Char Char Char Char Char"/>
    <w:basedOn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97">
    <w:name w:val="xl132"/>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FF0000"/>
      <w:kern w:val="0"/>
      <w:szCs w:val="21"/>
    </w:rPr>
  </w:style>
  <w:style w:type="paragraph" w:customStyle="1" w:styleId="98">
    <w:name w:val="xl10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Arial" w:hAnsi="Arial" w:cs="Arial"/>
      <w:kern w:val="0"/>
      <w:sz w:val="20"/>
    </w:rPr>
  </w:style>
  <w:style w:type="paragraph" w:customStyle="1" w:styleId="99">
    <w:name w:val="样式 样式 样式 样式 标题 2 + 宋体 五号 非加粗 黑色 + 段前: 6 磅 段后: 0 磅 行距: 单倍行距 + 段前:..."/>
    <w:basedOn w:val="1"/>
    <w:qFormat/>
    <w:uiPriority w:val="0"/>
    <w:pPr>
      <w:keepNext/>
      <w:keepLines/>
      <w:tabs>
        <w:tab w:val="left" w:pos="1440"/>
      </w:tabs>
      <w:spacing w:before="240"/>
      <w:ind w:left="1440" w:hanging="360"/>
      <w:outlineLvl w:val="1"/>
    </w:pPr>
    <w:rPr>
      <w:rFonts w:ascii="宋体" w:hAnsi="宋体" w:cs="宋体"/>
      <w:b/>
      <w:bCs/>
      <w:color w:val="000000"/>
    </w:rPr>
  </w:style>
  <w:style w:type="paragraph" w:customStyle="1" w:styleId="100">
    <w:name w:val="font9"/>
    <w:basedOn w:val="1"/>
    <w:qFormat/>
    <w:uiPriority w:val="0"/>
    <w:pPr>
      <w:widowControl/>
      <w:spacing w:before="100" w:beforeAutospacing="1" w:after="100" w:afterAutospacing="1"/>
      <w:jc w:val="left"/>
    </w:pPr>
    <w:rPr>
      <w:b/>
      <w:kern w:val="0"/>
      <w:sz w:val="24"/>
    </w:rPr>
  </w:style>
  <w:style w:type="paragraph" w:customStyle="1" w:styleId="101">
    <w:name w:val="WW-正文（首行缩进两字）"/>
    <w:basedOn w:val="1"/>
    <w:qFormat/>
    <w:uiPriority w:val="0"/>
    <w:pPr>
      <w:tabs>
        <w:tab w:val="left" w:pos="0"/>
        <w:tab w:val="left" w:pos="600"/>
      </w:tabs>
      <w:suppressAutoHyphens/>
      <w:snapToGrid w:val="0"/>
      <w:spacing w:before="156" w:beforeLines="50" w:after="50" w:line="288" w:lineRule="auto"/>
      <w:ind w:right="22" w:rightChars="9" w:firstLine="420" w:firstLineChars="375"/>
      <w:textAlignment w:val="baseline"/>
    </w:pPr>
    <w:rPr>
      <w:rFonts w:ascii="仿宋_GB2312" w:hAnsi="宋体" w:eastAsia="仿宋_GB2312" w:cs="Arial"/>
      <w:bCs/>
      <w:kern w:val="20481"/>
      <w:sz w:val="24"/>
    </w:rPr>
  </w:style>
  <w:style w:type="paragraph" w:customStyle="1" w:styleId="102">
    <w:name w:val="xl8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32"/>
      <w:szCs w:val="32"/>
    </w:rPr>
  </w:style>
  <w:style w:type="paragraph" w:customStyle="1" w:styleId="103">
    <w:name w:val="font22"/>
    <w:basedOn w:val="1"/>
    <w:qFormat/>
    <w:uiPriority w:val="0"/>
    <w:pPr>
      <w:widowControl/>
      <w:spacing w:before="100" w:beforeAutospacing="1" w:after="100" w:afterAutospacing="1"/>
      <w:jc w:val="left"/>
    </w:pPr>
    <w:rPr>
      <w:rFonts w:ascii="新宋体" w:hAnsi="新宋体" w:eastAsia="新宋体" w:cs="宋体"/>
      <w:color w:val="FF0000"/>
      <w:kern w:val="0"/>
      <w:szCs w:val="21"/>
    </w:rPr>
  </w:style>
  <w:style w:type="paragraph" w:customStyle="1" w:styleId="104">
    <w:name w:val="xl109"/>
    <w:basedOn w:val="1"/>
    <w:qFormat/>
    <w:uiPriority w:val="0"/>
    <w:pPr>
      <w:widowControl/>
      <w:pBdr>
        <w:bottom w:val="single" w:color="auto" w:sz="8" w:space="0"/>
        <w:right w:val="single" w:color="auto" w:sz="8" w:space="0"/>
      </w:pBdr>
      <w:spacing w:before="100" w:beforeAutospacing="1" w:after="100" w:afterAutospacing="1"/>
    </w:pPr>
    <w:rPr>
      <w:rFonts w:ascii="Cambria" w:hAnsi="Cambria" w:cs="宋体"/>
      <w:color w:val="FF0000"/>
      <w:kern w:val="0"/>
      <w:szCs w:val="21"/>
    </w:rPr>
  </w:style>
  <w:style w:type="paragraph" w:customStyle="1" w:styleId="105">
    <w:name w:val="xl75"/>
    <w:basedOn w:val="1"/>
    <w:qFormat/>
    <w:uiPriority w:val="0"/>
    <w:pPr>
      <w:widowControl/>
      <w:pBdr>
        <w:bottom w:val="single" w:color="auto" w:sz="8" w:space="0"/>
        <w:right w:val="single" w:color="auto" w:sz="8" w:space="0"/>
      </w:pBdr>
      <w:shd w:val="clear" w:color="000000" w:fill="008000"/>
      <w:spacing w:before="100" w:beforeAutospacing="1" w:after="100" w:afterAutospacing="1"/>
      <w:jc w:val="center"/>
    </w:pPr>
    <w:rPr>
      <w:rFonts w:ascii="宋体" w:hAnsi="宋体" w:cs="宋体"/>
      <w:color w:val="FF0000"/>
      <w:kern w:val="0"/>
      <w:sz w:val="24"/>
      <w:szCs w:val="24"/>
    </w:rPr>
  </w:style>
  <w:style w:type="paragraph" w:customStyle="1" w:styleId="10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07">
    <w:name w:val="样式1"/>
    <w:basedOn w:val="2"/>
    <w:qFormat/>
    <w:uiPriority w:val="0"/>
    <w:pPr>
      <w:numPr>
        <w:numId w:val="0"/>
      </w:numPr>
      <w:autoSpaceDE w:val="0"/>
      <w:autoSpaceDN w:val="0"/>
      <w:adjustRightInd w:val="0"/>
      <w:spacing w:before="240" w:after="120" w:line="360" w:lineRule="auto"/>
    </w:pPr>
    <w:rPr>
      <w:rFonts w:ascii="宋体" w:hAnsi="宋体"/>
      <w:sz w:val="24"/>
      <w:szCs w:val="24"/>
    </w:rPr>
  </w:style>
  <w:style w:type="paragraph" w:customStyle="1" w:styleId="10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10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10">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111">
    <w:name w:val="xl112"/>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Cambria" w:hAnsi="Cambria" w:cs="宋体"/>
      <w:b/>
      <w:bCs/>
      <w:color w:val="FF0000"/>
      <w:kern w:val="0"/>
      <w:szCs w:val="21"/>
    </w:rPr>
  </w:style>
  <w:style w:type="paragraph" w:customStyle="1" w:styleId="112">
    <w:name w:val="xl71"/>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11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kern w:val="0"/>
      <w:sz w:val="24"/>
    </w:rPr>
  </w:style>
  <w:style w:type="paragraph" w:customStyle="1" w:styleId="114">
    <w:name w:val="xl135"/>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115">
    <w:name w:val="_Style 185"/>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xl129"/>
    <w:basedOn w:val="1"/>
    <w:qFormat/>
    <w:uiPriority w:val="0"/>
    <w:pPr>
      <w:widowControl/>
      <w:pBdr>
        <w:bottom w:val="single" w:color="auto" w:sz="8" w:space="0"/>
        <w:right w:val="single" w:color="auto" w:sz="8" w:space="0"/>
      </w:pBdr>
      <w:spacing w:before="100" w:beforeAutospacing="1" w:after="100" w:afterAutospacing="1"/>
    </w:pPr>
    <w:rPr>
      <w:rFonts w:ascii="Wingdings" w:hAnsi="Wingdings" w:cs="宋体"/>
      <w:kern w:val="0"/>
      <w:szCs w:val="21"/>
    </w:rPr>
  </w:style>
  <w:style w:type="paragraph" w:customStyle="1" w:styleId="117">
    <w:name w:val="font6"/>
    <w:basedOn w:val="1"/>
    <w:qFormat/>
    <w:uiPriority w:val="0"/>
    <w:pPr>
      <w:widowControl/>
      <w:spacing w:before="100" w:beforeAutospacing="1" w:after="100" w:afterAutospacing="1"/>
      <w:jc w:val="left"/>
    </w:pPr>
    <w:rPr>
      <w:kern w:val="0"/>
      <w:sz w:val="24"/>
    </w:rPr>
  </w:style>
  <w:style w:type="paragraph" w:customStyle="1" w:styleId="118">
    <w:name w:val="xl70"/>
    <w:basedOn w:val="1"/>
    <w:qFormat/>
    <w:uiPriority w:val="0"/>
    <w:pPr>
      <w:widowControl/>
      <w:pBdr>
        <w:bottom w:val="single" w:color="auto" w:sz="8" w:space="0"/>
        <w:right w:val="single" w:color="auto" w:sz="8" w:space="0"/>
      </w:pBdr>
      <w:shd w:val="clear" w:color="000000" w:fill="008000"/>
      <w:spacing w:before="100" w:beforeAutospacing="1" w:after="100" w:afterAutospacing="1"/>
      <w:jc w:val="center"/>
    </w:pPr>
    <w:rPr>
      <w:rFonts w:ascii="宋体" w:hAnsi="宋体" w:cs="宋体"/>
      <w:kern w:val="0"/>
      <w:sz w:val="24"/>
      <w:szCs w:val="24"/>
    </w:rPr>
  </w:style>
  <w:style w:type="paragraph" w:customStyle="1" w:styleId="11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4"/>
    </w:rPr>
  </w:style>
  <w:style w:type="paragraph" w:customStyle="1" w:styleId="120">
    <w:name w:val="xl106"/>
    <w:basedOn w:val="1"/>
    <w:qFormat/>
    <w:uiPriority w:val="0"/>
    <w:pPr>
      <w:widowControl/>
      <w:pBdr>
        <w:right w:val="single" w:color="auto" w:sz="8" w:space="0"/>
      </w:pBdr>
      <w:spacing w:before="100" w:beforeAutospacing="1" w:after="100" w:afterAutospacing="1"/>
    </w:pPr>
    <w:rPr>
      <w:rFonts w:ascii="宋体" w:hAnsi="宋体" w:cs="宋体"/>
      <w:kern w:val="0"/>
      <w:szCs w:val="21"/>
    </w:rPr>
  </w:style>
  <w:style w:type="paragraph" w:customStyle="1" w:styleId="121">
    <w:name w:val="正文 + 小四"/>
    <w:basedOn w:val="1"/>
    <w:qFormat/>
    <w:uiPriority w:val="0"/>
    <w:pPr>
      <w:spacing w:line="360" w:lineRule="auto"/>
      <w:ind w:firstLine="480" w:firstLineChars="200"/>
    </w:pPr>
    <w:rPr>
      <w:sz w:val="24"/>
      <w:szCs w:val="24"/>
    </w:rPr>
  </w:style>
  <w:style w:type="paragraph" w:customStyle="1" w:styleId="122">
    <w:name w:val="xl122"/>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12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kern w:val="0"/>
      <w:sz w:val="24"/>
    </w:rPr>
  </w:style>
  <w:style w:type="paragraph" w:customStyle="1" w:styleId="12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5">
    <w:name w:val="xl136"/>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126">
    <w:name w:val="xl6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4"/>
      <w:szCs w:val="24"/>
    </w:rPr>
  </w:style>
  <w:style w:type="paragraph" w:customStyle="1" w:styleId="127">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kern w:val="0"/>
      <w:sz w:val="20"/>
    </w:rPr>
  </w:style>
  <w:style w:type="paragraph" w:customStyle="1" w:styleId="128">
    <w:name w:val="font12"/>
    <w:basedOn w:val="1"/>
    <w:qFormat/>
    <w:uiPriority w:val="0"/>
    <w:pPr>
      <w:widowControl/>
      <w:spacing w:before="100" w:beforeAutospacing="1" w:after="100" w:afterAutospacing="1"/>
      <w:jc w:val="left"/>
    </w:pPr>
    <w:rPr>
      <w:rFonts w:ascii="Cambria" w:hAnsi="Cambria" w:cs="宋体"/>
      <w:color w:val="FF0000"/>
      <w:kern w:val="0"/>
      <w:szCs w:val="21"/>
    </w:rPr>
  </w:style>
  <w:style w:type="paragraph" w:customStyle="1" w:styleId="129">
    <w:name w:val="样式"/>
    <w:basedOn w:val="1"/>
    <w:qFormat/>
    <w:uiPriority w:val="0"/>
    <w:pPr>
      <w:autoSpaceDE w:val="0"/>
      <w:autoSpaceDN w:val="0"/>
      <w:snapToGrid w:val="0"/>
      <w:spacing w:before="120" w:after="120" w:line="360" w:lineRule="auto"/>
    </w:pPr>
    <w:rPr>
      <w:rFonts w:ascii="宋体"/>
      <w:sz w:val="24"/>
    </w:rPr>
  </w:style>
  <w:style w:type="paragraph" w:customStyle="1" w:styleId="130">
    <w:name w:val="font2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
    <w:name w:val="xl119"/>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Cs w:val="21"/>
    </w:rPr>
  </w:style>
  <w:style w:type="paragraph" w:customStyle="1" w:styleId="132">
    <w:name w:val="章标题"/>
    <w:basedOn w:val="1"/>
    <w:next w:val="7"/>
    <w:qFormat/>
    <w:uiPriority w:val="0"/>
    <w:pPr>
      <w:numPr>
        <w:ilvl w:val="1"/>
        <w:numId w:val="4"/>
      </w:numPr>
      <w:spacing w:before="468" w:beforeLines="150" w:line="360" w:lineRule="auto"/>
      <w:outlineLvl w:val="1"/>
    </w:pPr>
    <w:rPr>
      <w:rFonts w:eastAsia="黑体"/>
      <w:sz w:val="24"/>
    </w:rPr>
  </w:style>
  <w:style w:type="paragraph" w:customStyle="1" w:styleId="133">
    <w:name w:val="一级条标题"/>
    <w:basedOn w:val="132"/>
    <w:next w:val="7"/>
    <w:qFormat/>
    <w:uiPriority w:val="0"/>
    <w:pPr>
      <w:numPr>
        <w:ilvl w:val="2"/>
      </w:numPr>
      <w:spacing w:before="0" w:beforeLines="0"/>
      <w:outlineLvl w:val="2"/>
    </w:pPr>
    <w:rPr>
      <w:rFonts w:eastAsia="宋体"/>
    </w:rPr>
  </w:style>
  <w:style w:type="paragraph" w:customStyle="1" w:styleId="134">
    <w:name w:val="二级条标题"/>
    <w:basedOn w:val="133"/>
    <w:next w:val="7"/>
    <w:qFormat/>
    <w:uiPriority w:val="0"/>
    <w:pPr>
      <w:numPr>
        <w:ilvl w:val="3"/>
      </w:numPr>
      <w:outlineLvl w:val="3"/>
    </w:pPr>
  </w:style>
  <w:style w:type="paragraph" w:customStyle="1" w:styleId="13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kern w:val="0"/>
      <w:sz w:val="24"/>
    </w:rPr>
  </w:style>
  <w:style w:type="paragraph" w:customStyle="1" w:styleId="136">
    <w:name w:val="jin normal"/>
    <w:basedOn w:val="1"/>
    <w:qFormat/>
    <w:uiPriority w:val="0"/>
    <w:pPr>
      <w:spacing w:before="120" w:after="120" w:line="360" w:lineRule="auto"/>
      <w:ind w:firstLine="432"/>
    </w:pPr>
    <w:rPr>
      <w:rFonts w:eastAsia="楷体"/>
      <w:snapToGrid w:val="0"/>
      <w:sz w:val="24"/>
      <w:lang w:eastAsia="en-US"/>
    </w:rPr>
  </w:style>
  <w:style w:type="paragraph" w:customStyle="1" w:styleId="13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38">
    <w:name w:val="Normal (Web)2"/>
    <w:basedOn w:val="1"/>
    <w:qFormat/>
    <w:uiPriority w:val="0"/>
    <w:pPr>
      <w:spacing w:before="100" w:beforeAutospacing="1" w:after="100" w:afterAutospacing="1"/>
    </w:pPr>
    <w:rPr>
      <w:rFonts w:ascii="Arial Unicode MS" w:hAnsi="Arial Unicode MS" w:eastAsia="Arial Unicode MS" w:cs="Arial Unicode MS"/>
      <w:sz w:val="24"/>
      <w:szCs w:val="24"/>
    </w:rPr>
  </w:style>
  <w:style w:type="paragraph" w:customStyle="1" w:styleId="139">
    <w:name w:val="xl15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40">
    <w:name w:val="xl154"/>
    <w:basedOn w:val="1"/>
    <w:qFormat/>
    <w:uiPriority w:val="0"/>
    <w:pPr>
      <w:widowControl/>
      <w:pBdr>
        <w:right w:val="single" w:color="auto" w:sz="8" w:space="0"/>
      </w:pBdr>
      <w:spacing w:before="100" w:beforeAutospacing="1" w:after="100" w:afterAutospacing="1"/>
      <w:jc w:val="center"/>
    </w:pPr>
    <w:rPr>
      <w:rFonts w:ascii="宋体" w:hAnsi="宋体" w:cs="宋体"/>
      <w:kern w:val="0"/>
      <w:szCs w:val="21"/>
    </w:rPr>
  </w:style>
  <w:style w:type="paragraph" w:customStyle="1" w:styleId="14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kern w:val="0"/>
      <w:sz w:val="24"/>
    </w:rPr>
  </w:style>
  <w:style w:type="paragraph" w:customStyle="1" w:styleId="142">
    <w:name w:val="xl14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43">
    <w:name w:val="xl13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Arial" w:hAnsi="Arial" w:cs="Arial"/>
      <w:color w:val="FF0000"/>
      <w:kern w:val="0"/>
      <w:szCs w:val="21"/>
    </w:rPr>
  </w:style>
  <w:style w:type="paragraph" w:customStyle="1" w:styleId="144">
    <w:name w:val="font7"/>
    <w:basedOn w:val="1"/>
    <w:qFormat/>
    <w:uiPriority w:val="0"/>
    <w:pPr>
      <w:widowControl/>
      <w:spacing w:before="100" w:beforeAutospacing="1" w:after="100" w:afterAutospacing="1"/>
      <w:jc w:val="left"/>
    </w:pPr>
    <w:rPr>
      <w:rFonts w:ascii="宋体" w:hAnsi="宋体"/>
      <w:kern w:val="0"/>
      <w:sz w:val="18"/>
    </w:rPr>
  </w:style>
  <w:style w:type="paragraph" w:customStyle="1" w:styleId="145">
    <w:name w:val="xl125"/>
    <w:basedOn w:val="1"/>
    <w:qFormat/>
    <w:uiPriority w:val="0"/>
    <w:pPr>
      <w:widowControl/>
      <w:pBdr>
        <w:bottom w:val="single" w:color="auto" w:sz="8" w:space="0"/>
        <w:right w:val="single" w:color="auto" w:sz="8" w:space="0"/>
      </w:pBdr>
      <w:spacing w:before="100" w:beforeAutospacing="1" w:after="100" w:afterAutospacing="1"/>
      <w:jc w:val="left"/>
    </w:pPr>
    <w:rPr>
      <w:rFonts w:ascii="Cambria" w:hAnsi="Cambria" w:cs="宋体"/>
      <w:kern w:val="0"/>
      <w:szCs w:val="21"/>
    </w:rPr>
  </w:style>
  <w:style w:type="paragraph" w:customStyle="1" w:styleId="146">
    <w:name w:val="索引 11"/>
    <w:basedOn w:val="1"/>
    <w:next w:val="1"/>
    <w:qFormat/>
    <w:uiPriority w:val="0"/>
  </w:style>
  <w:style w:type="paragraph" w:customStyle="1" w:styleId="14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8">
    <w:name w:val="小标题"/>
    <w:basedOn w:val="1"/>
    <w:qFormat/>
    <w:uiPriority w:val="0"/>
    <w:pPr>
      <w:spacing w:line="380" w:lineRule="exact"/>
      <w:ind w:right="18"/>
      <w:jc w:val="left"/>
    </w:pPr>
    <w:rPr>
      <w:rFonts w:ascii="宋体" w:cs="宋体"/>
      <w:b/>
      <w:color w:val="000000"/>
      <w:kern w:val="0"/>
    </w:r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4"/>
    </w:rPr>
  </w:style>
  <w:style w:type="paragraph" w:customStyle="1" w:styleId="150">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51">
    <w:name w:val="样式2"/>
    <w:basedOn w:val="44"/>
    <w:qFormat/>
    <w:uiPriority w:val="0"/>
    <w:pPr>
      <w:tabs>
        <w:tab w:val="left" w:pos="720"/>
      </w:tabs>
      <w:autoSpaceDE w:val="0"/>
      <w:autoSpaceDN w:val="0"/>
      <w:adjustRightInd w:val="0"/>
      <w:spacing w:line="380" w:lineRule="exact"/>
      <w:ind w:right="18"/>
      <w:jc w:val="left"/>
    </w:pPr>
    <w:rPr>
      <w:rFonts w:ascii="宋体" w:hAnsi="Times New Roman" w:cs="宋体"/>
      <w:color w:val="000000"/>
      <w:kern w:val="0"/>
      <w:sz w:val="24"/>
      <w:szCs w:val="21"/>
      <w:lang w:val="zh-CN"/>
    </w:rPr>
  </w:style>
  <w:style w:type="paragraph" w:customStyle="1" w:styleId="152">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153">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rPr>
  </w:style>
  <w:style w:type="paragraph" w:customStyle="1" w:styleId="154">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kern w:val="0"/>
      <w:sz w:val="24"/>
    </w:rPr>
  </w:style>
  <w:style w:type="paragraph" w:customStyle="1" w:styleId="155">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b/>
      <w:kern w:val="0"/>
      <w:sz w:val="24"/>
    </w:rPr>
  </w:style>
  <w:style w:type="paragraph" w:customStyle="1" w:styleId="156">
    <w:name w:val="xl153"/>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57">
    <w:name w:val="Normal Bullets"/>
    <w:basedOn w:val="1"/>
    <w:qFormat/>
    <w:uiPriority w:val="0"/>
    <w:pPr>
      <w:widowControl/>
      <w:numPr>
        <w:ilvl w:val="0"/>
        <w:numId w:val="5"/>
      </w:numPr>
      <w:spacing w:after="120"/>
      <w:jc w:val="left"/>
    </w:pPr>
    <w:rPr>
      <w:rFonts w:ascii="Palatino Linotype" w:hAnsi="Palatino Linotype"/>
      <w:kern w:val="0"/>
      <w:sz w:val="20"/>
      <w:lang w:eastAsia="en-US"/>
    </w:rPr>
  </w:style>
  <w:style w:type="paragraph" w:customStyle="1" w:styleId="158">
    <w:name w:val="xl69"/>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159">
    <w:name w:val="xl116"/>
    <w:basedOn w:val="1"/>
    <w:qFormat/>
    <w:uiPriority w:val="0"/>
    <w:pPr>
      <w:widowControl/>
      <w:pBdr>
        <w:right w:val="single" w:color="auto" w:sz="8" w:space="0"/>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160">
    <w:name w:val="空行"/>
    <w:basedOn w:val="1"/>
    <w:next w:val="1"/>
    <w:qFormat/>
    <w:uiPriority w:val="0"/>
    <w:pPr>
      <w:spacing w:before="312" w:beforeLines="100" w:after="312" w:afterLines="100" w:line="360" w:lineRule="auto"/>
      <w:jc w:val="center"/>
    </w:pPr>
    <w:rPr>
      <w:spacing w:val="20"/>
      <w:sz w:val="24"/>
    </w:rPr>
  </w:style>
  <w:style w:type="paragraph" w:customStyle="1" w:styleId="161">
    <w:name w:val="xl105"/>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Arial" w:hAnsi="Arial" w:cs="Arial"/>
      <w:color w:val="FF0000"/>
      <w:kern w:val="0"/>
      <w:sz w:val="20"/>
    </w:rPr>
  </w:style>
  <w:style w:type="paragraph" w:customStyle="1" w:styleId="162">
    <w:name w:val="默认段落字体 Para Char"/>
    <w:basedOn w:val="1"/>
    <w:qFormat/>
    <w:uiPriority w:val="0"/>
    <w:pPr>
      <w:adjustRightInd w:val="0"/>
      <w:spacing w:line="360" w:lineRule="auto"/>
    </w:pPr>
    <w:rPr>
      <w:kern w:val="0"/>
      <w:sz w:val="24"/>
    </w:rPr>
  </w:style>
  <w:style w:type="paragraph" w:customStyle="1" w:styleId="163">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164">
    <w:name w:val="xl95"/>
    <w:basedOn w:val="1"/>
    <w:qFormat/>
    <w:uiPriority w:val="0"/>
    <w:pPr>
      <w:widowControl/>
      <w:pBdr>
        <w:bottom w:val="single" w:color="auto" w:sz="8" w:space="0"/>
        <w:right w:val="single" w:color="auto" w:sz="8" w:space="0"/>
      </w:pBdr>
      <w:spacing w:before="100" w:beforeAutospacing="1" w:after="100" w:afterAutospacing="1"/>
    </w:pPr>
    <w:rPr>
      <w:rFonts w:ascii="Arial" w:hAnsi="Arial" w:cs="Arial"/>
      <w:kern w:val="0"/>
      <w:szCs w:val="21"/>
    </w:rPr>
  </w:style>
  <w:style w:type="paragraph" w:customStyle="1" w:styleId="165">
    <w:name w:val="xl6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166">
    <w:name w:val="xl72"/>
    <w:basedOn w:val="1"/>
    <w:qFormat/>
    <w:uiPriority w:val="0"/>
    <w:pPr>
      <w:widowControl/>
      <w:pBdr>
        <w:top w:val="single" w:color="auto" w:sz="8" w:space="0"/>
        <w:left w:val="single" w:color="auto" w:sz="8" w:space="0"/>
        <w:right w:val="single" w:color="auto" w:sz="8"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167">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b/>
      <w:bCs/>
      <w:kern w:val="0"/>
      <w:szCs w:val="21"/>
    </w:rPr>
  </w:style>
  <w:style w:type="paragraph" w:customStyle="1" w:styleId="168">
    <w:name w:val="xl96"/>
    <w:basedOn w:val="1"/>
    <w:qFormat/>
    <w:uiPriority w:val="0"/>
    <w:pPr>
      <w:widowControl/>
      <w:pBdr>
        <w:left w:val="single" w:color="auto" w:sz="8" w:space="0"/>
        <w:right w:val="single" w:color="auto" w:sz="8" w:space="0"/>
      </w:pBdr>
      <w:spacing w:before="100" w:beforeAutospacing="1" w:after="100" w:afterAutospacing="1"/>
      <w:jc w:val="left"/>
    </w:pPr>
    <w:rPr>
      <w:rFonts w:ascii="Arial" w:hAnsi="Arial" w:cs="Arial"/>
      <w:kern w:val="0"/>
      <w:sz w:val="20"/>
    </w:rPr>
  </w:style>
  <w:style w:type="paragraph" w:customStyle="1" w:styleId="169">
    <w:name w:val="标题二"/>
    <w:basedOn w:val="3"/>
    <w:next w:val="1"/>
    <w:qFormat/>
    <w:uiPriority w:val="0"/>
    <w:pPr>
      <w:tabs>
        <w:tab w:val="left" w:pos="720"/>
        <w:tab w:val="left" w:pos="1342"/>
      </w:tabs>
      <w:autoSpaceDE w:val="0"/>
      <w:autoSpaceDN w:val="0"/>
      <w:adjustRightInd w:val="0"/>
      <w:spacing w:before="120" w:after="120" w:line="380" w:lineRule="exact"/>
      <w:ind w:left="839" w:right="227" w:hanging="612"/>
    </w:pPr>
    <w:rPr>
      <w:rFonts w:hAnsi="Times New Roman" w:cs="宋体"/>
      <w:b w:val="0"/>
      <w:bCs/>
      <w:color w:val="000000"/>
      <w:kern w:val="0"/>
      <w:sz w:val="21"/>
      <w:szCs w:val="21"/>
      <w:lang w:val="zh-CN"/>
    </w:rPr>
  </w:style>
  <w:style w:type="paragraph" w:customStyle="1" w:styleId="17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32"/>
      <w:szCs w:val="32"/>
    </w:rPr>
  </w:style>
  <w:style w:type="paragraph" w:customStyle="1" w:styleId="171">
    <w:name w:val="标题1"/>
    <w:basedOn w:val="2"/>
    <w:next w:val="3"/>
    <w:qFormat/>
    <w:uiPriority w:val="0"/>
    <w:pPr>
      <w:tabs>
        <w:tab w:val="left" w:pos="605"/>
        <w:tab w:val="left" w:pos="720"/>
      </w:tabs>
      <w:autoSpaceDE w:val="0"/>
      <w:autoSpaceDN w:val="0"/>
      <w:adjustRightInd w:val="0"/>
      <w:spacing w:before="0" w:after="0" w:line="360" w:lineRule="auto"/>
      <w:ind w:left="605" w:right="17" w:hanging="425"/>
      <w:jc w:val="left"/>
    </w:pPr>
    <w:rPr>
      <w:rFonts w:ascii="宋体" w:cs="宋体"/>
      <w:bCs/>
      <w:color w:val="000000"/>
      <w:kern w:val="0"/>
      <w:sz w:val="32"/>
      <w:szCs w:val="32"/>
      <w:lang w:val="zh-CN"/>
    </w:rPr>
  </w:style>
  <w:style w:type="paragraph" w:customStyle="1" w:styleId="172">
    <w:name w:val="xl98"/>
    <w:basedOn w:val="1"/>
    <w:qFormat/>
    <w:uiPriority w:val="0"/>
    <w:pPr>
      <w:widowControl/>
      <w:pBdr>
        <w:right w:val="single" w:color="auto" w:sz="8" w:space="0"/>
      </w:pBdr>
      <w:spacing w:before="100" w:beforeAutospacing="1" w:after="100" w:afterAutospacing="1"/>
    </w:pPr>
    <w:rPr>
      <w:rFonts w:ascii="宋体" w:hAnsi="宋体" w:cs="宋体"/>
      <w:kern w:val="0"/>
      <w:szCs w:val="21"/>
    </w:rPr>
  </w:style>
  <w:style w:type="paragraph" w:customStyle="1" w:styleId="17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4">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5">
    <w:name w:val="xl151"/>
    <w:basedOn w:val="1"/>
    <w:qFormat/>
    <w:uiPriority w:val="0"/>
    <w:pPr>
      <w:widowControl/>
      <w:pBdr>
        <w:right w:val="single" w:color="auto" w:sz="8" w:space="0"/>
      </w:pBdr>
      <w:spacing w:before="100" w:beforeAutospacing="1" w:after="100" w:afterAutospacing="1"/>
      <w:jc w:val="center"/>
    </w:pPr>
    <w:rPr>
      <w:rFonts w:ascii="宋体" w:hAnsi="宋体" w:cs="宋体"/>
      <w:kern w:val="0"/>
      <w:sz w:val="20"/>
    </w:rPr>
  </w:style>
  <w:style w:type="paragraph" w:customStyle="1" w:styleId="176">
    <w:name w:val="xl121"/>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17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color w:val="000000"/>
      <w:kern w:val="0"/>
      <w:sz w:val="24"/>
    </w:rPr>
  </w:style>
  <w:style w:type="paragraph" w:customStyle="1" w:styleId="178">
    <w:name w:val="普通文字"/>
    <w:basedOn w:val="1"/>
    <w:qFormat/>
    <w:uiPriority w:val="0"/>
    <w:pPr>
      <w:widowControl/>
      <w:spacing w:line="351" w:lineRule="atLeast"/>
      <w:ind w:firstLine="419"/>
      <w:textAlignment w:val="baseline"/>
    </w:pPr>
    <w:rPr>
      <w:rFonts w:ascii="宋体"/>
      <w:color w:val="000000"/>
      <w:kern w:val="0"/>
      <w:u w:color="000000"/>
    </w:rPr>
  </w:style>
  <w:style w:type="paragraph" w:customStyle="1" w:styleId="179">
    <w:name w:val="xl107"/>
    <w:basedOn w:val="1"/>
    <w:qFormat/>
    <w:uiPriority w:val="0"/>
    <w:pPr>
      <w:widowControl/>
      <w:pBdr>
        <w:right w:val="single" w:color="auto" w:sz="8" w:space="0"/>
      </w:pBdr>
      <w:spacing w:before="100" w:beforeAutospacing="1" w:after="100" w:afterAutospacing="1"/>
      <w:jc w:val="left"/>
    </w:pPr>
    <w:rPr>
      <w:rFonts w:ascii="宋体" w:hAnsi="宋体" w:cs="宋体"/>
      <w:kern w:val="0"/>
      <w:sz w:val="24"/>
      <w:szCs w:val="24"/>
    </w:rPr>
  </w:style>
  <w:style w:type="paragraph" w:customStyle="1" w:styleId="18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kern w:val="0"/>
      <w:sz w:val="24"/>
    </w:rPr>
  </w:style>
  <w:style w:type="paragraph" w:customStyle="1" w:styleId="181">
    <w:name w:val="xl156"/>
    <w:basedOn w:val="1"/>
    <w:qFormat/>
    <w:uiPriority w:val="0"/>
    <w:pPr>
      <w:widowControl/>
      <w:pBdr>
        <w:left w:val="single" w:color="auto" w:sz="8" w:space="0"/>
      </w:pBdr>
      <w:spacing w:before="100" w:beforeAutospacing="1" w:after="100" w:afterAutospacing="1"/>
      <w:jc w:val="center"/>
    </w:pPr>
    <w:rPr>
      <w:rFonts w:ascii="宋体" w:hAnsi="宋体" w:cs="宋体"/>
      <w:kern w:val="0"/>
      <w:sz w:val="24"/>
      <w:szCs w:val="24"/>
    </w:rPr>
  </w:style>
  <w:style w:type="paragraph" w:customStyle="1" w:styleId="182">
    <w:name w:val="xl126"/>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Cambria" w:hAnsi="Cambria" w:cs="宋体"/>
      <w:color w:val="FF0000"/>
      <w:kern w:val="0"/>
      <w:szCs w:val="21"/>
    </w:rPr>
  </w:style>
  <w:style w:type="paragraph" w:customStyle="1" w:styleId="183">
    <w:name w:val="xl92"/>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Arial" w:hAnsi="Arial" w:cs="Arial"/>
      <w:kern w:val="0"/>
      <w:szCs w:val="21"/>
    </w:rPr>
  </w:style>
  <w:style w:type="paragraph" w:customStyle="1" w:styleId="184">
    <w:name w:val="xl79"/>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185">
    <w:name w:val="font23"/>
    <w:basedOn w:val="1"/>
    <w:qFormat/>
    <w:uiPriority w:val="0"/>
    <w:pPr>
      <w:widowControl/>
      <w:spacing w:before="100" w:beforeAutospacing="1" w:after="100" w:afterAutospacing="1"/>
      <w:jc w:val="left"/>
    </w:pPr>
    <w:rPr>
      <w:color w:val="FF0000"/>
      <w:kern w:val="0"/>
      <w:sz w:val="14"/>
      <w:szCs w:val="14"/>
    </w:rPr>
  </w:style>
  <w:style w:type="paragraph" w:customStyle="1" w:styleId="186">
    <w:name w:val="p0"/>
    <w:basedOn w:val="1"/>
    <w:qFormat/>
    <w:uiPriority w:val="0"/>
    <w:pPr>
      <w:widowControl/>
    </w:pPr>
    <w:rPr>
      <w:kern w:val="0"/>
    </w:rPr>
  </w:style>
  <w:style w:type="paragraph" w:customStyle="1" w:styleId="18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8">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89">
    <w:name w:val="xl143"/>
    <w:basedOn w:val="1"/>
    <w:qFormat/>
    <w:uiPriority w:val="0"/>
    <w:pPr>
      <w:widowControl/>
      <w:pBdr>
        <w:right w:val="single" w:color="auto" w:sz="8" w:space="0"/>
      </w:pBdr>
      <w:spacing w:before="100" w:beforeAutospacing="1" w:after="100" w:afterAutospacing="1"/>
      <w:ind w:firstLine="100" w:firstLineChars="100"/>
      <w:jc w:val="left"/>
    </w:pPr>
    <w:rPr>
      <w:rFonts w:ascii="Wingdings" w:hAnsi="Wingdings" w:cs="宋体"/>
      <w:kern w:val="0"/>
      <w:szCs w:val="21"/>
    </w:rPr>
  </w:style>
  <w:style w:type="paragraph" w:customStyle="1" w:styleId="190">
    <w:name w:val="Char Char Char Char Char Char Char Char Char Char"/>
    <w:basedOn w:val="1"/>
    <w:qFormat/>
    <w:uiPriority w:val="0"/>
    <w:pPr>
      <w:tabs>
        <w:tab w:val="left" w:pos="360"/>
      </w:tabs>
      <w:ind w:left="360" w:hanging="360" w:hangingChars="200"/>
    </w:pPr>
    <w:rPr>
      <w:sz w:val="24"/>
    </w:rPr>
  </w:style>
  <w:style w:type="paragraph" w:customStyle="1" w:styleId="191">
    <w:name w:val="xl138"/>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FF0000"/>
      <w:kern w:val="0"/>
      <w:szCs w:val="21"/>
    </w:rPr>
  </w:style>
  <w:style w:type="paragraph" w:customStyle="1" w:styleId="19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rPr>
  </w:style>
  <w:style w:type="paragraph" w:customStyle="1" w:styleId="193">
    <w:name w:val="xl133"/>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194">
    <w:name w:val="样式7"/>
    <w:basedOn w:val="44"/>
    <w:qFormat/>
    <w:uiPriority w:val="0"/>
    <w:pPr>
      <w:spacing w:line="380" w:lineRule="atLeast"/>
      <w:ind w:right="17"/>
    </w:pPr>
    <w:rPr>
      <w:rFonts w:ascii="Times New Roman" w:hAnsi="Times New Roman"/>
    </w:rPr>
  </w:style>
  <w:style w:type="paragraph" w:customStyle="1" w:styleId="195">
    <w:name w:val="xl139"/>
    <w:basedOn w:val="1"/>
    <w:qFormat/>
    <w:uiPriority w:val="0"/>
    <w:pPr>
      <w:widowControl/>
      <w:pBdr>
        <w:right w:val="single" w:color="auto" w:sz="8" w:space="0"/>
      </w:pBdr>
      <w:spacing w:before="100" w:beforeAutospacing="1" w:after="100" w:afterAutospacing="1"/>
    </w:pPr>
    <w:rPr>
      <w:rFonts w:ascii="宋体" w:hAnsi="宋体" w:cs="宋体"/>
      <w:b/>
      <w:bCs/>
      <w:kern w:val="0"/>
      <w:szCs w:val="21"/>
    </w:rPr>
  </w:style>
  <w:style w:type="paragraph" w:customStyle="1" w:styleId="19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0"/>
    </w:rPr>
  </w:style>
  <w:style w:type="paragraph" w:customStyle="1" w:styleId="197">
    <w:name w:val="Table Paragraph"/>
    <w:basedOn w:val="1"/>
    <w:qFormat/>
    <w:uiPriority w:val="1"/>
    <w:pPr>
      <w:ind w:left="103"/>
    </w:pPr>
    <w:rPr>
      <w:rFonts w:ascii="宋体" w:hAnsi="宋体" w:cs="宋体"/>
      <w:szCs w:val="24"/>
    </w:rPr>
  </w:style>
  <w:style w:type="paragraph" w:customStyle="1" w:styleId="198">
    <w:name w:val="正文缩进1"/>
    <w:basedOn w:val="1"/>
    <w:qFormat/>
    <w:uiPriority w:val="0"/>
    <w:pPr>
      <w:autoSpaceDE w:val="0"/>
      <w:autoSpaceDN w:val="0"/>
      <w:adjustRightInd w:val="0"/>
      <w:ind w:firstLine="420"/>
      <w:jc w:val="left"/>
    </w:pPr>
    <w:rPr>
      <w:rFonts w:ascii="宋体"/>
      <w:kern w:val="0"/>
      <w:sz w:val="24"/>
    </w:rPr>
  </w:style>
  <w:style w:type="paragraph" w:customStyle="1" w:styleId="19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xl14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8080"/>
      <w:kern w:val="0"/>
      <w:szCs w:val="21"/>
      <w:u w:val="single"/>
    </w:rPr>
  </w:style>
  <w:style w:type="paragraph" w:customStyle="1" w:styleId="201">
    <w:name w:val="xl115"/>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宋体" w:hAnsi="宋体" w:cs="宋体"/>
      <w:b/>
      <w:bCs/>
      <w:kern w:val="0"/>
      <w:szCs w:val="21"/>
    </w:rPr>
  </w:style>
  <w:style w:type="paragraph" w:customStyle="1" w:styleId="202">
    <w:name w:val="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03">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Arial" w:hAnsi="Arial" w:cs="Arial"/>
      <w:color w:val="FF0000"/>
      <w:kern w:val="0"/>
      <w:sz w:val="20"/>
    </w:rPr>
  </w:style>
  <w:style w:type="paragraph" w:customStyle="1" w:styleId="204">
    <w:name w:val="font11"/>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205">
    <w:name w:val="样式 宋体 五号 行距: 单倍行距"/>
    <w:basedOn w:val="1"/>
    <w:qFormat/>
    <w:uiPriority w:val="0"/>
    <w:rPr>
      <w:rFonts w:ascii="宋体" w:hAnsi="宋体" w:cs="宋体"/>
    </w:rPr>
  </w:style>
  <w:style w:type="paragraph" w:customStyle="1" w:styleId="206">
    <w:name w:val="xl149"/>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207">
    <w:name w:val="标题一"/>
    <w:basedOn w:val="2"/>
    <w:next w:val="169"/>
    <w:qFormat/>
    <w:uiPriority w:val="0"/>
    <w:pPr>
      <w:numPr>
        <w:numId w:val="0"/>
      </w:numPr>
      <w:tabs>
        <w:tab w:val="left" w:pos="425"/>
      </w:tabs>
      <w:autoSpaceDE w:val="0"/>
      <w:autoSpaceDN w:val="0"/>
      <w:adjustRightInd w:val="0"/>
      <w:spacing w:before="120" w:after="120" w:line="240" w:lineRule="exact"/>
      <w:ind w:left="425" w:right="17" w:hanging="425"/>
      <w:jc w:val="left"/>
    </w:pPr>
    <w:rPr>
      <w:rFonts w:ascii="宋体" w:cs="宋体"/>
      <w:bCs/>
      <w:color w:val="000000"/>
      <w:kern w:val="0"/>
      <w:sz w:val="21"/>
      <w:szCs w:val="21"/>
      <w:lang w:val="zh-CN"/>
    </w:rPr>
  </w:style>
  <w:style w:type="paragraph" w:customStyle="1" w:styleId="208">
    <w:name w:val="xl152"/>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209">
    <w:name w:val="Char Char Char Char"/>
    <w:basedOn w:val="1"/>
    <w:qFormat/>
    <w:uiPriority w:val="0"/>
    <w:pPr>
      <w:tabs>
        <w:tab w:val="left" w:pos="360"/>
      </w:tabs>
      <w:ind w:firstLine="420" w:firstLineChars="150"/>
    </w:pPr>
    <w:rPr>
      <w:rFonts w:ascii="Arial" w:hAnsi="Arial"/>
      <w:sz w:val="20"/>
    </w:rPr>
  </w:style>
  <w:style w:type="paragraph" w:customStyle="1" w:styleId="210">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kern w:val="0"/>
      <w:sz w:val="24"/>
    </w:rPr>
  </w:style>
  <w:style w:type="paragraph" w:customStyle="1" w:styleId="211">
    <w:name w:val="font13"/>
    <w:basedOn w:val="1"/>
    <w:qFormat/>
    <w:uiPriority w:val="0"/>
    <w:pPr>
      <w:widowControl/>
      <w:spacing w:before="100" w:beforeAutospacing="1" w:after="100" w:afterAutospacing="1"/>
      <w:jc w:val="left"/>
    </w:pPr>
    <w:rPr>
      <w:rFonts w:ascii="Cambria" w:hAnsi="Cambria" w:cs="宋体"/>
      <w:color w:val="FF0000"/>
      <w:kern w:val="0"/>
      <w:szCs w:val="21"/>
    </w:rPr>
  </w:style>
  <w:style w:type="paragraph" w:customStyle="1" w:styleId="212">
    <w:name w:val="Char Char2 Char Char Char Char"/>
    <w:basedOn w:val="1"/>
    <w:qFormat/>
    <w:uiPriority w:val="0"/>
    <w:rPr>
      <w:kern w:val="0"/>
      <w:sz w:val="24"/>
    </w:rPr>
  </w:style>
  <w:style w:type="paragraph" w:customStyle="1" w:styleId="213">
    <w:name w:val="font19"/>
    <w:basedOn w:val="1"/>
    <w:qFormat/>
    <w:uiPriority w:val="0"/>
    <w:pPr>
      <w:widowControl/>
      <w:spacing w:before="100" w:beforeAutospacing="1" w:after="100" w:afterAutospacing="1"/>
      <w:jc w:val="left"/>
    </w:pPr>
    <w:rPr>
      <w:rFonts w:ascii="Cambria" w:hAnsi="Cambria" w:cs="宋体"/>
      <w:color w:val="000000"/>
      <w:kern w:val="0"/>
      <w:sz w:val="20"/>
    </w:rPr>
  </w:style>
  <w:style w:type="paragraph" w:customStyle="1" w:styleId="214">
    <w:name w:val="纯文本1"/>
    <w:basedOn w:val="1"/>
    <w:qFormat/>
    <w:uiPriority w:val="0"/>
    <w:rPr>
      <w:rFonts w:ascii="宋体" w:hAnsi="Courier New"/>
      <w:sz w:val="32"/>
    </w:rPr>
  </w:style>
  <w:style w:type="paragraph" w:customStyle="1" w:styleId="21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16">
    <w:name w:val="xl89"/>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0"/>
    </w:rPr>
  </w:style>
  <w:style w:type="paragraph" w:customStyle="1" w:styleId="21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rPr>
  </w:style>
  <w:style w:type="paragraph" w:customStyle="1" w:styleId="218">
    <w:name w:val="样式5"/>
    <w:basedOn w:val="44"/>
    <w:qFormat/>
    <w:uiPriority w:val="0"/>
    <w:pPr>
      <w:spacing w:line="380" w:lineRule="exact"/>
      <w:jc w:val="left"/>
    </w:pPr>
    <w:rPr>
      <w:rFonts w:ascii="Times New Roman" w:hAnsi="Times New Roman"/>
      <w:b w:val="0"/>
      <w:color w:val="000000"/>
      <w:sz w:val="21"/>
    </w:rPr>
  </w:style>
  <w:style w:type="paragraph" w:customStyle="1" w:styleId="219">
    <w:name w:val="xl99"/>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0"/>
    </w:rPr>
  </w:style>
  <w:style w:type="paragraph" w:customStyle="1" w:styleId="220">
    <w:name w:val="Char1 Char Char Char1"/>
    <w:basedOn w:val="1"/>
    <w:qFormat/>
    <w:uiPriority w:val="0"/>
    <w:rPr>
      <w:rFonts w:ascii="Tahoma" w:hAnsi="Tahoma"/>
      <w:sz w:val="24"/>
    </w:rPr>
  </w:style>
  <w:style w:type="paragraph" w:customStyle="1" w:styleId="221">
    <w:name w:val="xl128"/>
    <w:basedOn w:val="1"/>
    <w:qFormat/>
    <w:uiPriority w:val="0"/>
    <w:pPr>
      <w:widowControl/>
      <w:pBdr>
        <w:right w:val="single" w:color="auto" w:sz="8" w:space="0"/>
      </w:pBdr>
      <w:spacing w:before="100" w:beforeAutospacing="1" w:after="100" w:afterAutospacing="1"/>
    </w:pPr>
    <w:rPr>
      <w:rFonts w:ascii="Wingdings" w:hAnsi="Wingdings" w:cs="宋体"/>
      <w:kern w:val="0"/>
      <w:szCs w:val="21"/>
    </w:rPr>
  </w:style>
  <w:style w:type="paragraph" w:customStyle="1" w:styleId="222">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223">
    <w:name w:val="标题8"/>
    <w:basedOn w:val="4"/>
    <w:qFormat/>
    <w:uiPriority w:val="0"/>
    <w:pPr>
      <w:tabs>
        <w:tab w:val="left" w:pos="1827"/>
      </w:tabs>
      <w:spacing w:before="120" w:after="120" w:line="380" w:lineRule="exact"/>
      <w:ind w:left="1827" w:hanging="747"/>
    </w:pPr>
    <w:rPr>
      <w:bCs/>
      <w:color w:val="000000"/>
      <w:sz w:val="21"/>
      <w:szCs w:val="32"/>
    </w:rPr>
  </w:style>
  <w:style w:type="paragraph" w:customStyle="1" w:styleId="224">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225">
    <w:name w:val="xl111"/>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Cambria" w:hAnsi="Cambria" w:cs="宋体"/>
      <w:b/>
      <w:bCs/>
      <w:color w:val="FF0000"/>
      <w:kern w:val="0"/>
      <w:szCs w:val="21"/>
    </w:rPr>
  </w:style>
  <w:style w:type="paragraph" w:customStyle="1" w:styleId="226">
    <w:name w:val="Char1 Char Char Char Char Char Char"/>
    <w:basedOn w:val="1"/>
    <w:qFormat/>
    <w:uiPriority w:val="0"/>
    <w:rPr>
      <w:rFonts w:ascii="Tahoma" w:hAnsi="Tahoma"/>
      <w:sz w:val="24"/>
    </w:rPr>
  </w:style>
  <w:style w:type="paragraph" w:customStyle="1" w:styleId="227">
    <w:name w:val="xl118"/>
    <w:basedOn w:val="1"/>
    <w:qFormat/>
    <w:uiPriority w:val="0"/>
    <w:pPr>
      <w:widowControl/>
      <w:pBdr>
        <w:right w:val="single" w:color="auto" w:sz="8" w:space="0"/>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29">
    <w:name w:val="xl134"/>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230">
    <w:name w:val="xl104"/>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231">
    <w:name w:val="标题5"/>
    <w:basedOn w:val="4"/>
    <w:next w:val="5"/>
    <w:qFormat/>
    <w:uiPriority w:val="0"/>
    <w:pPr>
      <w:tabs>
        <w:tab w:val="left" w:pos="720"/>
        <w:tab w:val="left" w:pos="1107"/>
      </w:tabs>
      <w:autoSpaceDE w:val="0"/>
      <w:autoSpaceDN w:val="0"/>
      <w:adjustRightInd w:val="0"/>
      <w:spacing w:before="120" w:after="120" w:line="380" w:lineRule="exact"/>
      <w:jc w:val="left"/>
    </w:pPr>
    <w:rPr>
      <w:rFonts w:ascii="宋体" w:cs="宋体"/>
      <w:color w:val="000000"/>
      <w:kern w:val="0"/>
      <w:sz w:val="21"/>
      <w:szCs w:val="21"/>
      <w:lang w:val="zh-CN"/>
    </w:rPr>
  </w:style>
  <w:style w:type="paragraph" w:customStyle="1" w:styleId="232">
    <w:name w:val="xl83"/>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 w:val="32"/>
      <w:szCs w:val="32"/>
    </w:rPr>
  </w:style>
  <w:style w:type="paragraph" w:customStyle="1" w:styleId="233">
    <w:name w:val="普通 (Web)"/>
    <w:basedOn w:val="1"/>
    <w:qFormat/>
    <w:uiPriority w:val="0"/>
    <w:pPr>
      <w:widowControl/>
      <w:spacing w:before="100" w:after="100" w:line="360" w:lineRule="auto"/>
      <w:jc w:val="left"/>
    </w:pPr>
    <w:rPr>
      <w:rFonts w:ascii="宋体" w:hAnsi="宋体"/>
      <w:color w:val="FFFFFF"/>
      <w:kern w:val="0"/>
      <w:sz w:val="24"/>
    </w:rPr>
  </w:style>
  <w:style w:type="paragraph" w:customStyle="1" w:styleId="234">
    <w:name w:val="样式4"/>
    <w:basedOn w:val="5"/>
    <w:qFormat/>
    <w:uiPriority w:val="0"/>
    <w:pPr>
      <w:spacing w:line="240" w:lineRule="auto"/>
      <w:ind w:right="9" w:rightChars="9"/>
    </w:pPr>
    <w:rPr>
      <w:rFonts w:eastAsia="黑体"/>
      <w:b w:val="0"/>
      <w:sz w:val="21"/>
    </w:rPr>
  </w:style>
  <w:style w:type="paragraph" w:customStyle="1" w:styleId="235">
    <w:name w:val="xl13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23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4"/>
    </w:rPr>
  </w:style>
  <w:style w:type="paragraph" w:customStyle="1" w:styleId="238">
    <w:name w:val="xl123"/>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cs="宋体"/>
      <w:kern w:val="0"/>
      <w:szCs w:val="21"/>
    </w:rPr>
  </w:style>
  <w:style w:type="paragraph" w:customStyle="1" w:styleId="239">
    <w:name w:val="xl114"/>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cs="宋体"/>
      <w:b/>
      <w:bCs/>
      <w:kern w:val="0"/>
      <w:szCs w:val="21"/>
    </w:rPr>
  </w:style>
  <w:style w:type="paragraph" w:customStyle="1" w:styleId="240">
    <w:name w:val="xl64"/>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241">
    <w:name w:val="content"/>
    <w:basedOn w:val="1"/>
    <w:qFormat/>
    <w:uiPriority w:val="0"/>
    <w:pPr>
      <w:widowControl/>
      <w:spacing w:before="100" w:beforeAutospacing="1" w:after="100" w:afterAutospacing="1"/>
      <w:jc w:val="left"/>
    </w:pPr>
    <w:rPr>
      <w:rFonts w:ascii="Arial" w:hAnsi="Arial" w:cs="Arial"/>
      <w:color w:val="333333"/>
      <w:kern w:val="0"/>
      <w:sz w:val="20"/>
    </w:rPr>
  </w:style>
  <w:style w:type="paragraph" w:customStyle="1" w:styleId="242">
    <w:name w:val="font17"/>
    <w:basedOn w:val="1"/>
    <w:qFormat/>
    <w:uiPriority w:val="0"/>
    <w:pPr>
      <w:widowControl/>
      <w:spacing w:before="100" w:beforeAutospacing="1" w:after="100" w:afterAutospacing="1"/>
      <w:jc w:val="left"/>
    </w:pPr>
    <w:rPr>
      <w:rFonts w:ascii="新宋体" w:hAnsi="新宋体" w:eastAsia="新宋体" w:cs="宋体"/>
      <w:color w:val="000000"/>
      <w:kern w:val="0"/>
      <w:szCs w:val="21"/>
    </w:rPr>
  </w:style>
  <w:style w:type="paragraph" w:customStyle="1" w:styleId="243">
    <w:name w:val="xl145"/>
    <w:basedOn w:val="1"/>
    <w:qFormat/>
    <w:uiPriority w:val="0"/>
    <w:pPr>
      <w:widowControl/>
      <w:pBdr>
        <w:right w:val="single" w:color="auto" w:sz="8" w:space="0"/>
      </w:pBdr>
      <w:spacing w:before="100" w:beforeAutospacing="1" w:after="100" w:afterAutospacing="1"/>
    </w:pPr>
    <w:rPr>
      <w:rFonts w:ascii="新宋体" w:hAnsi="新宋体" w:eastAsia="新宋体" w:cs="宋体"/>
      <w:kern w:val="0"/>
      <w:szCs w:val="21"/>
    </w:rPr>
  </w:style>
  <w:style w:type="paragraph" w:customStyle="1" w:styleId="244">
    <w:name w:val="xl127"/>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Arial" w:hAnsi="Arial" w:cs="Arial"/>
      <w:color w:val="FF0000"/>
      <w:kern w:val="0"/>
      <w:szCs w:val="21"/>
    </w:rPr>
  </w:style>
  <w:style w:type="paragraph" w:customStyle="1" w:styleId="245">
    <w:name w:val="xl7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6">
    <w:name w:val="xl6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247">
    <w:name w:val="Char"/>
    <w:basedOn w:val="1"/>
    <w:qFormat/>
    <w:uiPriority w:val="0"/>
    <w:pPr>
      <w:widowControl/>
      <w:spacing w:before="312" w:beforeLines="100" w:after="160" w:line="240" w:lineRule="exact"/>
      <w:jc w:val="left"/>
    </w:pPr>
    <w:rPr>
      <w:rFonts w:ascii="Verdana" w:hAnsi="Verdana"/>
      <w:kern w:val="0"/>
      <w:sz w:val="20"/>
      <w:lang w:eastAsia="en-US"/>
    </w:rPr>
  </w:style>
  <w:style w:type="paragraph" w:customStyle="1" w:styleId="248">
    <w:name w:val="xl90"/>
    <w:basedOn w:val="1"/>
    <w:qFormat/>
    <w:uiPriority w:val="0"/>
    <w:pPr>
      <w:widowControl/>
      <w:pBdr>
        <w:bottom w:val="single" w:color="auto" w:sz="8" w:space="0"/>
        <w:right w:val="single" w:color="auto" w:sz="8" w:space="0"/>
      </w:pBdr>
      <w:spacing w:before="100" w:beforeAutospacing="1" w:after="100" w:afterAutospacing="1"/>
    </w:pPr>
    <w:rPr>
      <w:rFonts w:ascii="Arial" w:hAnsi="Arial" w:cs="Arial"/>
      <w:kern w:val="0"/>
      <w:szCs w:val="21"/>
    </w:rPr>
  </w:style>
  <w:style w:type="paragraph" w:customStyle="1" w:styleId="249">
    <w:name w:val="xl142"/>
    <w:basedOn w:val="1"/>
    <w:qFormat/>
    <w:uiPriority w:val="0"/>
    <w:pPr>
      <w:widowControl/>
      <w:pBdr>
        <w:bottom w:val="single" w:color="auto" w:sz="8" w:space="0"/>
        <w:right w:val="single" w:color="auto" w:sz="8" w:space="0"/>
      </w:pBdr>
      <w:spacing w:before="100" w:beforeAutospacing="1" w:after="100" w:afterAutospacing="1"/>
    </w:pPr>
    <w:rPr>
      <w:rFonts w:ascii="新宋体" w:hAnsi="新宋体" w:eastAsia="新宋体" w:cs="宋体"/>
      <w:kern w:val="0"/>
      <w:szCs w:val="21"/>
    </w:rPr>
  </w:style>
  <w:style w:type="paragraph" w:customStyle="1" w:styleId="25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rPr>
  </w:style>
  <w:style w:type="paragraph" w:customStyle="1" w:styleId="251">
    <w:name w:val="xl103"/>
    <w:basedOn w:val="1"/>
    <w:qFormat/>
    <w:uiPriority w:val="0"/>
    <w:pPr>
      <w:widowControl/>
      <w:pBdr>
        <w:left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252">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8"/>
    </w:rPr>
  </w:style>
  <w:style w:type="paragraph" w:customStyle="1" w:styleId="25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254">
    <w:name w:val="Char Char Char Char1"/>
    <w:basedOn w:val="1"/>
    <w:qFormat/>
    <w:uiPriority w:val="0"/>
    <w:pPr>
      <w:tabs>
        <w:tab w:val="left" w:pos="360"/>
      </w:tabs>
      <w:ind w:firstLine="420" w:firstLineChars="150"/>
    </w:pPr>
  </w:style>
  <w:style w:type="paragraph" w:customStyle="1" w:styleId="255">
    <w:name w:val="xl74"/>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56">
    <w:name w:val="font8"/>
    <w:basedOn w:val="1"/>
    <w:qFormat/>
    <w:uiPriority w:val="0"/>
    <w:pPr>
      <w:widowControl/>
      <w:spacing w:before="100" w:beforeAutospacing="1" w:after="100" w:afterAutospacing="1"/>
      <w:jc w:val="left"/>
    </w:pPr>
    <w:rPr>
      <w:rFonts w:ascii="宋体" w:hAnsi="宋体"/>
      <w:b/>
      <w:kern w:val="0"/>
      <w:sz w:val="24"/>
    </w:rPr>
  </w:style>
  <w:style w:type="paragraph" w:customStyle="1" w:styleId="257">
    <w:name w:val="xl65"/>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58">
    <w:name w:val="Char2"/>
    <w:basedOn w:val="1"/>
    <w:qFormat/>
    <w:uiPriority w:val="0"/>
    <w:pPr>
      <w:spacing w:line="360" w:lineRule="auto"/>
      <w:ind w:firstLine="200" w:firstLineChars="200"/>
    </w:pPr>
    <w:rPr>
      <w:rFonts w:ascii="宋体" w:hAnsi="宋体" w:cs="宋体"/>
      <w:sz w:val="24"/>
      <w:szCs w:val="24"/>
    </w:rPr>
  </w:style>
  <w:style w:type="paragraph" w:customStyle="1" w:styleId="259">
    <w:name w:val="Char1"/>
    <w:basedOn w:val="1"/>
    <w:qFormat/>
    <w:uiPriority w:val="0"/>
    <w:pPr>
      <w:widowControl/>
      <w:spacing w:before="312" w:beforeLines="100" w:after="160" w:line="240" w:lineRule="exact"/>
      <w:jc w:val="left"/>
    </w:pPr>
    <w:rPr>
      <w:rFonts w:ascii="Verdana" w:hAnsi="Verdana"/>
      <w:kern w:val="0"/>
      <w:sz w:val="20"/>
      <w:lang w:eastAsia="en-US"/>
    </w:rPr>
  </w:style>
  <w:style w:type="paragraph" w:customStyle="1" w:styleId="260">
    <w:name w:val="xl93"/>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26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62">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63">
    <w:name w:val="标题3"/>
    <w:basedOn w:val="4"/>
    <w:next w:val="5"/>
    <w:qFormat/>
    <w:uiPriority w:val="0"/>
    <w:pPr>
      <w:tabs>
        <w:tab w:val="left" w:pos="741"/>
      </w:tabs>
      <w:spacing w:before="120" w:after="156" w:afterLines="50" w:line="380" w:lineRule="exact"/>
      <w:jc w:val="left"/>
    </w:pPr>
    <w:rPr>
      <w:bCs/>
      <w:sz w:val="21"/>
      <w:szCs w:val="32"/>
    </w:rPr>
  </w:style>
  <w:style w:type="paragraph" w:customStyle="1" w:styleId="264">
    <w:name w:val="_Style 14"/>
    <w:basedOn w:val="1"/>
    <w:next w:val="42"/>
    <w:qFormat/>
    <w:uiPriority w:val="0"/>
    <w:pPr>
      <w:widowControl/>
      <w:spacing w:before="100" w:beforeAutospacing="1" w:after="100" w:afterAutospacing="1"/>
      <w:jc w:val="left"/>
    </w:pPr>
    <w:rPr>
      <w:rFonts w:ascii="宋体" w:hAnsi="宋体"/>
      <w:kern w:val="0"/>
      <w:sz w:val="18"/>
    </w:rPr>
  </w:style>
  <w:style w:type="paragraph" w:customStyle="1" w:styleId="265">
    <w:name w:val="xl110"/>
    <w:basedOn w:val="1"/>
    <w:qFormat/>
    <w:uiPriority w:val="0"/>
    <w:pPr>
      <w:widowControl/>
      <w:pBdr>
        <w:left w:val="single" w:color="auto" w:sz="8" w:space="0"/>
        <w:right w:val="single" w:color="auto" w:sz="8" w:space="0"/>
      </w:pBdr>
      <w:spacing w:before="100" w:beforeAutospacing="1" w:after="100" w:afterAutospacing="1"/>
    </w:pPr>
    <w:rPr>
      <w:rFonts w:ascii="Cambria" w:hAnsi="Cambria" w:cs="宋体"/>
      <w:b/>
      <w:bCs/>
      <w:color w:val="FF0000"/>
      <w:kern w:val="0"/>
      <w:szCs w:val="21"/>
    </w:rPr>
  </w:style>
  <w:style w:type="paragraph" w:customStyle="1" w:styleId="266">
    <w:name w:val="TEXT"/>
    <w:basedOn w:val="1"/>
    <w:qFormat/>
    <w:uiPriority w:val="0"/>
    <w:pPr>
      <w:widowControl/>
      <w:numPr>
        <w:ilvl w:val="0"/>
        <w:numId w:val="6"/>
      </w:numPr>
      <w:tabs>
        <w:tab w:val="clear" w:pos="576"/>
      </w:tabs>
      <w:spacing w:line="360" w:lineRule="auto"/>
      <w:ind w:left="0" w:firstLine="480"/>
      <w:jc w:val="left"/>
    </w:pPr>
    <w:rPr>
      <w:kern w:val="0"/>
      <w:sz w:val="24"/>
      <w:szCs w:val="24"/>
    </w:rPr>
  </w:style>
  <w:style w:type="paragraph" w:customStyle="1" w:styleId="267">
    <w:name w:val="列出段落2"/>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68">
    <w:name w:val="Sub Bullets"/>
    <w:basedOn w:val="157"/>
    <w:qFormat/>
    <w:uiPriority w:val="0"/>
    <w:pPr>
      <w:numPr>
        <w:ilvl w:val="1"/>
      </w:numPr>
      <w:tabs>
        <w:tab w:val="clear" w:pos="3240"/>
      </w:tabs>
      <w:spacing w:after="0"/>
      <w:ind w:left="2880"/>
    </w:pPr>
    <w:rPr>
      <w:rFonts w:ascii="Times New Roman" w:hAnsi="Times New Roman"/>
    </w:rPr>
  </w:style>
  <w:style w:type="paragraph" w:customStyle="1" w:styleId="269">
    <w:name w:val="说明文字"/>
    <w:basedOn w:val="71"/>
    <w:qFormat/>
    <w:uiPriority w:val="0"/>
    <w:pPr>
      <w:spacing w:beforeLines="0"/>
      <w:ind w:firstLine="420"/>
    </w:pPr>
    <w:rPr>
      <w:rFonts w:ascii="新宋体" w:hAnsi="新宋体" w:eastAsia="华文楷体"/>
      <w:spacing w:val="0"/>
      <w:sz w:val="21"/>
      <w:szCs w:val="22"/>
      <w:lang w:val="en-US"/>
    </w:rPr>
  </w:style>
  <w:style w:type="paragraph" w:customStyle="1" w:styleId="27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kern w:val="0"/>
      <w:sz w:val="24"/>
    </w:rPr>
  </w:style>
  <w:style w:type="paragraph" w:customStyle="1" w:styleId="271">
    <w:name w:val="标题6"/>
    <w:basedOn w:val="231"/>
    <w:qFormat/>
    <w:uiPriority w:val="0"/>
    <w:pPr>
      <w:numPr>
        <w:ilvl w:val="2"/>
        <w:numId w:val="5"/>
      </w:numPr>
      <w:tabs>
        <w:tab w:val="clear" w:pos="720"/>
      </w:tabs>
      <w:ind w:left="1021" w:right="-170"/>
    </w:pPr>
    <w:rPr>
      <w:rFonts w:ascii="Times New Roman" w:cs="Times New Roman"/>
      <w:bCs/>
      <w:szCs w:val="20"/>
    </w:rPr>
  </w:style>
  <w:style w:type="paragraph" w:customStyle="1" w:styleId="272">
    <w:name w:val="列出段落11"/>
    <w:basedOn w:val="1"/>
    <w:qFormat/>
    <w:uiPriority w:val="0"/>
    <w:pPr>
      <w:widowControl/>
      <w:spacing w:before="40" w:after="160"/>
      <w:ind w:firstLine="420" w:firstLineChars="200"/>
      <w:jc w:val="left"/>
    </w:pPr>
    <w:rPr>
      <w:rFonts w:ascii="Cambria" w:hAnsi="Cambria" w:eastAsia="微软雅黑" w:cs="Cambria"/>
      <w:color w:val="565656"/>
      <w:kern w:val="20"/>
      <w:szCs w:val="21"/>
      <w:lang w:val="zh-CN"/>
    </w:rPr>
  </w:style>
  <w:style w:type="paragraph" w:customStyle="1" w:styleId="273">
    <w:name w:val="Char Char Char"/>
    <w:basedOn w:val="1"/>
    <w:qFormat/>
    <w:uiPriority w:val="0"/>
    <w:rPr>
      <w:rFonts w:ascii="Tahoma" w:hAnsi="Tahoma"/>
      <w:sz w:val="24"/>
    </w:rPr>
  </w:style>
  <w:style w:type="paragraph" w:customStyle="1" w:styleId="274">
    <w:name w:val="正文文本缩进 31"/>
    <w:basedOn w:val="1"/>
    <w:qFormat/>
    <w:uiPriority w:val="0"/>
    <w:pPr>
      <w:autoSpaceDE w:val="0"/>
      <w:autoSpaceDN w:val="0"/>
      <w:adjustRightInd w:val="0"/>
      <w:spacing w:before="120" w:line="22" w:lineRule="atLeast"/>
      <w:ind w:left="720" w:firstLine="480"/>
      <w:jc w:val="left"/>
    </w:pPr>
    <w:rPr>
      <w:sz w:val="16"/>
      <w:szCs w:val="16"/>
    </w:rPr>
  </w:style>
  <w:style w:type="paragraph" w:customStyle="1" w:styleId="275">
    <w:name w:val="xl113"/>
    <w:basedOn w:val="1"/>
    <w:qFormat/>
    <w:uiPriority w:val="0"/>
    <w:pPr>
      <w:widowControl/>
      <w:pBdr>
        <w:left w:val="single" w:color="auto" w:sz="8" w:space="0"/>
        <w:right w:val="single" w:color="auto" w:sz="8" w:space="0"/>
      </w:pBdr>
      <w:spacing w:before="100" w:beforeAutospacing="1" w:after="100" w:afterAutospacing="1"/>
    </w:pPr>
    <w:rPr>
      <w:rFonts w:ascii="宋体" w:hAnsi="宋体" w:cs="宋体"/>
      <w:b/>
      <w:bCs/>
      <w:kern w:val="0"/>
      <w:szCs w:val="21"/>
    </w:rPr>
  </w:style>
  <w:style w:type="paragraph" w:customStyle="1" w:styleId="276">
    <w:name w:val="标题三"/>
    <w:basedOn w:val="4"/>
    <w:next w:val="5"/>
    <w:qFormat/>
    <w:uiPriority w:val="0"/>
    <w:pPr>
      <w:tabs>
        <w:tab w:val="left" w:pos="720"/>
        <w:tab w:val="left" w:pos="1080"/>
      </w:tabs>
      <w:autoSpaceDE w:val="0"/>
      <w:autoSpaceDN w:val="0"/>
      <w:adjustRightInd w:val="0"/>
      <w:spacing w:before="120" w:after="120" w:line="380" w:lineRule="exact"/>
      <w:ind w:left="1418" w:right="567" w:hanging="851"/>
      <w:jc w:val="left"/>
    </w:pPr>
    <w:rPr>
      <w:bCs/>
      <w:sz w:val="21"/>
      <w:szCs w:val="21"/>
    </w:rPr>
  </w:style>
  <w:style w:type="paragraph" w:customStyle="1" w:styleId="277">
    <w:name w:val="xl120"/>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278">
    <w:name w:val="font15"/>
    <w:basedOn w:val="1"/>
    <w:qFormat/>
    <w:uiPriority w:val="0"/>
    <w:pPr>
      <w:widowControl/>
      <w:spacing w:before="100" w:beforeAutospacing="1" w:after="100" w:afterAutospacing="1"/>
      <w:jc w:val="left"/>
    </w:pPr>
    <w:rPr>
      <w:rFonts w:ascii="宋体" w:hAnsi="宋体" w:cs="宋体"/>
      <w:color w:val="008080"/>
      <w:kern w:val="0"/>
      <w:szCs w:val="21"/>
      <w:u w:val="single"/>
    </w:rPr>
  </w:style>
  <w:style w:type="paragraph" w:customStyle="1" w:styleId="27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4"/>
    </w:rPr>
  </w:style>
  <w:style w:type="paragraph" w:customStyle="1" w:styleId="280">
    <w:name w:val="样式6"/>
    <w:basedOn w:val="1"/>
    <w:qFormat/>
    <w:uiPriority w:val="0"/>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281">
    <w:name w:val="_Style 279"/>
    <w:qFormat/>
    <w:uiPriority w:val="0"/>
    <w:rPr>
      <w:rFonts w:ascii="Times New Roman" w:hAnsi="Times New Roman" w:eastAsia="宋体" w:cs="Times New Roman"/>
      <w:kern w:val="2"/>
      <w:sz w:val="21"/>
      <w:szCs w:val="24"/>
      <w:lang w:val="en-US" w:eastAsia="zh-CN" w:bidi="ar-SA"/>
    </w:rPr>
  </w:style>
  <w:style w:type="paragraph" w:customStyle="1" w:styleId="282">
    <w:name w:val="xl88"/>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color w:val="FF0000"/>
      <w:kern w:val="0"/>
      <w:szCs w:val="21"/>
    </w:rPr>
  </w:style>
  <w:style w:type="paragraph" w:customStyle="1" w:styleId="283">
    <w:name w:val="正文 1.1"/>
    <w:basedOn w:val="1"/>
    <w:next w:val="1"/>
    <w:qFormat/>
    <w:uiPriority w:val="0"/>
    <w:pPr>
      <w:adjustRightInd w:val="0"/>
      <w:spacing w:line="360" w:lineRule="auto"/>
      <w:ind w:left="843" w:hanging="843"/>
      <w:textAlignment w:val="baseline"/>
      <w:outlineLvl w:val="1"/>
    </w:pPr>
    <w:rPr>
      <w:rFonts w:ascii="宋体" w:hAnsi="宋体" w:cs="宋体"/>
      <w:b/>
      <w:kern w:val="0"/>
      <w:sz w:val="24"/>
      <w:szCs w:val="24"/>
    </w:rPr>
  </w:style>
  <w:style w:type="paragraph" w:customStyle="1" w:styleId="284">
    <w:name w:val="font20"/>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285">
    <w:name w:val="wellhope正文"/>
    <w:basedOn w:val="1"/>
    <w:qFormat/>
    <w:uiPriority w:val="0"/>
    <w:pPr>
      <w:spacing w:before="60" w:after="60" w:line="360" w:lineRule="auto"/>
      <w:ind w:firstLine="200" w:firstLineChars="200"/>
    </w:pPr>
    <w:rPr>
      <w:sz w:val="24"/>
    </w:rPr>
  </w:style>
  <w:style w:type="paragraph" w:customStyle="1" w:styleId="286">
    <w:name w:val="xl8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287">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rPr>
  </w:style>
  <w:style w:type="paragraph" w:customStyle="1" w:styleId="28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289">
    <w:name w:val="font16"/>
    <w:basedOn w:val="1"/>
    <w:qFormat/>
    <w:uiPriority w:val="0"/>
    <w:pPr>
      <w:widowControl/>
      <w:spacing w:before="100" w:beforeAutospacing="1" w:after="100" w:afterAutospacing="1"/>
      <w:jc w:val="left"/>
    </w:pPr>
    <w:rPr>
      <w:rFonts w:ascii="新宋体" w:hAnsi="新宋体" w:eastAsia="新宋体" w:cs="宋体"/>
      <w:color w:val="008080"/>
      <w:kern w:val="0"/>
      <w:szCs w:val="21"/>
      <w:u w:val="single"/>
    </w:rPr>
  </w:style>
  <w:style w:type="paragraph" w:customStyle="1" w:styleId="290">
    <w:name w:val="xl140"/>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b/>
      <w:bCs/>
      <w:kern w:val="0"/>
      <w:szCs w:val="21"/>
    </w:rPr>
  </w:style>
  <w:style w:type="paragraph" w:customStyle="1" w:styleId="291">
    <w:name w:val="样式 样式1 + 首行缩进:  2 字符"/>
    <w:basedOn w:val="1"/>
    <w:qFormat/>
    <w:uiPriority w:val="0"/>
    <w:pPr>
      <w:ind w:firstLine="640" w:firstLineChars="200"/>
    </w:pPr>
    <w:rPr>
      <w:rFonts w:ascii="仿宋_GB2312" w:eastAsia="仿宋_GB2312"/>
      <w:sz w:val="28"/>
    </w:rPr>
  </w:style>
  <w:style w:type="paragraph" w:customStyle="1" w:styleId="292">
    <w:name w:val="正文空2格  1."/>
    <w:basedOn w:val="1"/>
    <w:qFormat/>
    <w:uiPriority w:val="0"/>
    <w:pPr>
      <w:adjustRightInd w:val="0"/>
      <w:spacing w:line="360" w:lineRule="auto"/>
      <w:ind w:firstLine="480" w:firstLineChars="200"/>
      <w:textAlignment w:val="baseline"/>
    </w:pPr>
    <w:rPr>
      <w:rFonts w:ascii="宋体" w:hAnsi="Calibri" w:eastAsia="仿宋" w:cs="宋体"/>
      <w:kern w:val="0"/>
      <w:sz w:val="28"/>
    </w:rPr>
  </w:style>
  <w:style w:type="paragraph" w:customStyle="1" w:styleId="293">
    <w:name w:val="xl91"/>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Arial" w:hAnsi="Arial" w:cs="Arial"/>
      <w:kern w:val="0"/>
      <w:sz w:val="20"/>
    </w:rPr>
  </w:style>
  <w:style w:type="paragraph" w:customStyle="1" w:styleId="294">
    <w:name w:val="WPSOffice手动目录 1"/>
    <w:qFormat/>
    <w:uiPriority w:val="0"/>
    <w:rPr>
      <w:rFonts w:ascii="Times New Roman" w:hAnsi="Times New Roman" w:eastAsia="宋体" w:cs="Times New Roman"/>
      <w:lang w:val="en-US" w:eastAsia="zh-CN" w:bidi="ar-SA"/>
    </w:rPr>
  </w:style>
  <w:style w:type="paragraph" w:customStyle="1" w:styleId="295">
    <w:name w:val="xl94"/>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97">
    <w:name w:val="正文缩排"/>
    <w:basedOn w:val="1"/>
    <w:qFormat/>
    <w:uiPriority w:val="0"/>
    <w:pPr>
      <w:autoSpaceDE w:val="0"/>
      <w:autoSpaceDN w:val="0"/>
      <w:adjustRightInd w:val="0"/>
      <w:spacing w:line="600" w:lineRule="exact"/>
      <w:jc w:val="left"/>
      <w:textAlignment w:val="baseline"/>
    </w:pPr>
    <w:rPr>
      <w:rFonts w:ascii="Arial" w:hAnsi="Arial"/>
      <w:kern w:val="44"/>
      <w:sz w:val="24"/>
    </w:rPr>
  </w:style>
  <w:style w:type="paragraph" w:customStyle="1" w:styleId="298">
    <w:name w:val="标题7"/>
    <w:basedOn w:val="4"/>
    <w:qFormat/>
    <w:uiPriority w:val="0"/>
    <w:pPr>
      <w:numPr>
        <w:ilvl w:val="2"/>
        <w:numId w:val="7"/>
      </w:numPr>
      <w:tabs>
        <w:tab w:val="left" w:pos="1827"/>
        <w:tab w:val="clear" w:pos="2160"/>
      </w:tabs>
      <w:spacing w:before="120" w:after="0" w:line="380" w:lineRule="exact"/>
      <w:ind w:right="50" w:rightChars="50"/>
      <w:jc w:val="left"/>
    </w:pPr>
    <w:rPr>
      <w:b w:val="0"/>
      <w:bCs/>
      <w:color w:val="000000"/>
      <w:sz w:val="21"/>
      <w:szCs w:val="32"/>
    </w:rPr>
  </w:style>
  <w:style w:type="paragraph" w:customStyle="1" w:styleId="299">
    <w:name w:val="xl117"/>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szCs w:val="21"/>
    </w:rPr>
  </w:style>
  <w:style w:type="paragraph" w:customStyle="1" w:styleId="300">
    <w:name w:val="列表段落1"/>
    <w:basedOn w:val="1"/>
    <w:qFormat/>
    <w:uiPriority w:val="34"/>
    <w:pPr>
      <w:ind w:firstLine="420"/>
    </w:pPr>
    <w:rPr>
      <w:rFonts w:ascii="Calibri" w:hAnsi="Calibri"/>
      <w:kern w:val="0"/>
    </w:rPr>
  </w:style>
  <w:style w:type="paragraph" w:customStyle="1" w:styleId="301">
    <w:name w:val="列表段落11"/>
    <w:basedOn w:val="1"/>
    <w:qFormat/>
    <w:uiPriority w:val="34"/>
    <w:pPr>
      <w:ind w:firstLine="420"/>
    </w:pPr>
    <w:rPr>
      <w:rFonts w:ascii="Calibri" w:hAnsi="Calibri"/>
    </w:rPr>
  </w:style>
  <w:style w:type="paragraph" w:customStyle="1" w:styleId="302">
    <w:name w:val="正文文本 (4)"/>
    <w:basedOn w:val="1"/>
    <w:qFormat/>
    <w:uiPriority w:val="0"/>
    <w:pPr>
      <w:shd w:val="clear" w:color="auto" w:fill="FFFFFF"/>
      <w:spacing w:line="302" w:lineRule="exact"/>
      <w:ind w:hanging="360"/>
      <w:jc w:val="left"/>
    </w:pPr>
    <w:rPr>
      <w:rFonts w:ascii="MS Gothic" w:eastAsia="MS Gothic"/>
      <w:kern w:val="0"/>
      <w:sz w:val="18"/>
      <w:szCs w:val="18"/>
    </w:rPr>
  </w:style>
  <w:style w:type="character" w:customStyle="1" w:styleId="303">
    <w:name w:val="页眉 字符1"/>
    <w:link w:val="29"/>
    <w:qFormat/>
    <w:uiPriority w:val="0"/>
    <w:rPr>
      <w:rFonts w:ascii="Times New Roman" w:hAnsi="Times New Roman" w:eastAsia="宋体" w:cs="Times New Roman"/>
      <w:kern w:val="2"/>
      <w:sz w:val="18"/>
    </w:rPr>
  </w:style>
  <w:style w:type="character" w:customStyle="1" w:styleId="304">
    <w:name w:val="页脚 字符1"/>
    <w:link w:val="28"/>
    <w:qFormat/>
    <w:uiPriority w:val="0"/>
    <w:rPr>
      <w:rFonts w:ascii="Times New Roman" w:hAnsi="Times New Roman" w:eastAsia="宋体" w:cs="Times New Roman"/>
      <w:kern w:val="2"/>
      <w:sz w:val="18"/>
    </w:rPr>
  </w:style>
  <w:style w:type="character" w:customStyle="1" w:styleId="305">
    <w:name w:val="标题 1 字符1"/>
    <w:link w:val="2"/>
    <w:qFormat/>
    <w:uiPriority w:val="0"/>
    <w:rPr>
      <w:rFonts w:ascii="Times New Roman" w:hAnsi="Times New Roman" w:eastAsia="宋体" w:cs="Times New Roman"/>
      <w:b/>
      <w:kern w:val="44"/>
      <w:sz w:val="44"/>
    </w:rPr>
  </w:style>
  <w:style w:type="character" w:customStyle="1" w:styleId="306">
    <w:name w:val="段落正文 字符"/>
    <w:qFormat/>
    <w:uiPriority w:val="0"/>
    <w:rPr>
      <w:rFonts w:ascii="Times New Roman" w:hAnsi="Times New Roman" w:eastAsia="宋体" w:cs="Times New Roman"/>
      <w:szCs w:val="21"/>
    </w:rPr>
  </w:style>
  <w:style w:type="character" w:customStyle="1" w:styleId="307">
    <w:name w:val="纯文本 字符2"/>
    <w:link w:val="23"/>
    <w:qFormat/>
    <w:uiPriority w:val="0"/>
    <w:rPr>
      <w:rFonts w:ascii="宋体" w:hAnsi="Courier New" w:eastAsia="宋体" w:cs="Times New Roman"/>
      <w:kern w:val="2"/>
      <w:sz w:val="21"/>
    </w:rPr>
  </w:style>
  <w:style w:type="character" w:customStyle="1" w:styleId="308">
    <w:name w:val="标题 2 字符"/>
    <w:link w:val="3"/>
    <w:qFormat/>
    <w:uiPriority w:val="0"/>
    <w:rPr>
      <w:rFonts w:ascii="宋体" w:hAnsi="宋体" w:eastAsia="宋体" w:cs="Times New Roman"/>
      <w:b/>
      <w:kern w:val="2"/>
      <w:sz w:val="24"/>
    </w:rPr>
  </w:style>
  <w:style w:type="character" w:customStyle="1" w:styleId="309">
    <w:name w:val="标题 3 字符"/>
    <w:link w:val="4"/>
    <w:qFormat/>
    <w:uiPriority w:val="0"/>
    <w:rPr>
      <w:rFonts w:ascii="Times New Roman" w:hAnsi="Times New Roman" w:eastAsia="宋体" w:cs="Times New Roman"/>
      <w:b/>
      <w:kern w:val="2"/>
      <w:sz w:val="24"/>
    </w:rPr>
  </w:style>
  <w:style w:type="character" w:customStyle="1" w:styleId="310">
    <w:name w:val="批注文字 字符3"/>
    <w:link w:val="15"/>
    <w:qFormat/>
    <w:uiPriority w:val="99"/>
    <w:rPr>
      <w:rFonts w:ascii="Times New Roman" w:hAnsi="Times New Roman" w:eastAsia="宋体" w:cs="Times New Roman"/>
      <w:sz w:val="24"/>
    </w:rPr>
  </w:style>
  <w:style w:type="character" w:customStyle="1" w:styleId="311">
    <w:name w:val="正文文本 字符"/>
    <w:link w:val="18"/>
    <w:qFormat/>
    <w:uiPriority w:val="99"/>
    <w:rPr>
      <w:rFonts w:ascii="Times New Roman" w:hAnsi="Times New Roman" w:eastAsia="宋体" w:cs="Times New Roman"/>
      <w:kern w:val="2"/>
      <w:sz w:val="21"/>
    </w:rPr>
  </w:style>
  <w:style w:type="character" w:customStyle="1" w:styleId="312">
    <w:name w:val="列表段落 字符2"/>
    <w:link w:val="63"/>
    <w:qFormat/>
    <w:uiPriority w:val="0"/>
    <w:rPr>
      <w:rFonts w:ascii="Calibri" w:hAnsi="Calibri" w:eastAsia="宋体" w:cs="Times New Roman"/>
      <w:kern w:val="2"/>
      <w:sz w:val="21"/>
    </w:rPr>
  </w:style>
  <w:style w:type="character" w:customStyle="1" w:styleId="313">
    <w:name w:val="正文缩进 字符1"/>
    <w:link w:val="7"/>
    <w:qFormat/>
    <w:uiPriority w:val="0"/>
    <w:rPr>
      <w:rFonts w:ascii="Times New Roman" w:hAnsi="Times New Roman" w:eastAsia="宋体" w:cs="Times New Roman"/>
      <w:kern w:val="2"/>
      <w:sz w:val="21"/>
    </w:rPr>
  </w:style>
  <w:style w:type="character" w:customStyle="1" w:styleId="314">
    <w:name w:val="标题 4 字符"/>
    <w:link w:val="5"/>
    <w:qFormat/>
    <w:uiPriority w:val="0"/>
    <w:rPr>
      <w:rFonts w:ascii="Arial" w:hAnsi="Arial" w:eastAsia="宋体" w:cs="Times New Roman"/>
      <w:b/>
      <w:kern w:val="2"/>
      <w:sz w:val="24"/>
    </w:rPr>
  </w:style>
  <w:style w:type="character" w:customStyle="1" w:styleId="315">
    <w:name w:val="标题 5 字符"/>
    <w:link w:val="6"/>
    <w:qFormat/>
    <w:uiPriority w:val="0"/>
    <w:rPr>
      <w:rFonts w:ascii="Times New Roman" w:hAnsi="Times New Roman" w:eastAsia="宋体" w:cs="Times New Roman"/>
      <w:b/>
      <w:kern w:val="2"/>
      <w:sz w:val="28"/>
    </w:rPr>
  </w:style>
  <w:style w:type="character" w:customStyle="1" w:styleId="316">
    <w:name w:val="标题 6 字符"/>
    <w:link w:val="8"/>
    <w:qFormat/>
    <w:uiPriority w:val="0"/>
    <w:rPr>
      <w:rFonts w:ascii="Arial" w:hAnsi="Arial" w:eastAsia="黑体" w:cs="Times New Roman"/>
      <w:b/>
      <w:kern w:val="2"/>
      <w:sz w:val="24"/>
    </w:rPr>
  </w:style>
  <w:style w:type="character" w:customStyle="1" w:styleId="317">
    <w:name w:val="标题 7 字符"/>
    <w:link w:val="9"/>
    <w:qFormat/>
    <w:uiPriority w:val="0"/>
    <w:rPr>
      <w:rFonts w:ascii="Times New Roman" w:hAnsi="Times New Roman" w:eastAsia="宋体" w:cs="Times New Roman"/>
      <w:b/>
      <w:kern w:val="2"/>
      <w:sz w:val="24"/>
    </w:rPr>
  </w:style>
  <w:style w:type="character" w:customStyle="1" w:styleId="318">
    <w:name w:val="标题 8 字符"/>
    <w:link w:val="10"/>
    <w:qFormat/>
    <w:uiPriority w:val="0"/>
    <w:rPr>
      <w:rFonts w:ascii="Arial" w:hAnsi="Arial" w:eastAsia="黑体" w:cs="Times New Roman"/>
      <w:kern w:val="2"/>
      <w:sz w:val="24"/>
    </w:rPr>
  </w:style>
  <w:style w:type="character" w:customStyle="1" w:styleId="319">
    <w:name w:val="标题 9 字符"/>
    <w:link w:val="11"/>
    <w:qFormat/>
    <w:uiPriority w:val="0"/>
    <w:rPr>
      <w:rFonts w:ascii="Arial" w:hAnsi="Arial" w:eastAsia="黑体" w:cs="Times New Roman"/>
      <w:kern w:val="2"/>
      <w:sz w:val="24"/>
    </w:rPr>
  </w:style>
  <w:style w:type="character" w:customStyle="1" w:styleId="320">
    <w:name w:val="word331"/>
    <w:qFormat/>
    <w:uiPriority w:val="0"/>
    <w:rPr>
      <w:rFonts w:ascii="Times New Roman" w:hAnsi="Times New Roman" w:eastAsia="宋体" w:cs="Times New Roman"/>
      <w:b/>
      <w:bCs/>
      <w:color w:val="002A4E"/>
      <w:sz w:val="20"/>
      <w:szCs w:val="20"/>
    </w:rPr>
  </w:style>
  <w:style w:type="character" w:customStyle="1" w:styleId="321">
    <w:name w:val="Char Char11"/>
    <w:qFormat/>
    <w:uiPriority w:val="0"/>
    <w:rPr>
      <w:rFonts w:ascii="Times New Roman" w:hAnsi="Times New Roman" w:eastAsia="宋体" w:cs="Times New Roman"/>
      <w:kern w:val="2"/>
      <w:sz w:val="18"/>
    </w:rPr>
  </w:style>
  <w:style w:type="character" w:customStyle="1" w:styleId="322">
    <w:name w:val="正文格式 Char1"/>
    <w:link w:val="64"/>
    <w:qFormat/>
    <w:uiPriority w:val="0"/>
    <w:rPr>
      <w:rFonts w:ascii="Verdana" w:hAnsi="Verdana" w:eastAsia="宋体" w:cs="Times New Roman"/>
      <w:kern w:val="28"/>
      <w:sz w:val="24"/>
      <w:szCs w:val="24"/>
      <w:lang w:val="en-US" w:eastAsia="ar-SA" w:bidi="ar-SA"/>
    </w:rPr>
  </w:style>
  <w:style w:type="character" w:customStyle="1" w:styleId="323">
    <w:name w:val="正文缩进 字符"/>
    <w:qFormat/>
    <w:uiPriority w:val="0"/>
    <w:rPr>
      <w:rFonts w:ascii="Times New Roman" w:hAnsi="Times New Roman" w:eastAsia="宋体" w:cs="Times New Roman"/>
      <w:kern w:val="2"/>
      <w:sz w:val="21"/>
    </w:rPr>
  </w:style>
  <w:style w:type="character" w:customStyle="1" w:styleId="324">
    <w:name w:val="标题2 Char"/>
    <w:qFormat/>
    <w:uiPriority w:val="0"/>
    <w:rPr>
      <w:rFonts w:ascii="Arial" w:hAnsi="Arial" w:eastAsia="黑体" w:cs="Times New Roman"/>
      <w:b/>
      <w:kern w:val="0"/>
      <w:sz w:val="30"/>
      <w:szCs w:val="20"/>
    </w:rPr>
  </w:style>
  <w:style w:type="character" w:customStyle="1" w:styleId="325">
    <w:name w:val="正文文本 Char"/>
    <w:qFormat/>
    <w:uiPriority w:val="0"/>
    <w:rPr>
      <w:rFonts w:ascii="Times New Roman" w:hAnsi="Times New Roman" w:eastAsia="宋体" w:cs="Times New Roman"/>
      <w:kern w:val="2"/>
      <w:sz w:val="21"/>
      <w:szCs w:val="24"/>
    </w:rPr>
  </w:style>
  <w:style w:type="character" w:customStyle="1" w:styleId="326">
    <w:name w:val="页脚 Char"/>
    <w:qFormat/>
    <w:uiPriority w:val="0"/>
    <w:rPr>
      <w:rFonts w:ascii="Times New Roman" w:hAnsi="Times New Roman" w:eastAsia="宋体" w:cs="Times New Roman"/>
      <w:kern w:val="2"/>
      <w:sz w:val="18"/>
      <w:szCs w:val="18"/>
    </w:rPr>
  </w:style>
  <w:style w:type="character" w:customStyle="1" w:styleId="327">
    <w:name w:val="签名 字符"/>
    <w:link w:val="30"/>
    <w:qFormat/>
    <w:uiPriority w:val="0"/>
    <w:rPr>
      <w:rFonts w:ascii="Times New Roman" w:hAnsi="Times New Roman" w:eastAsia="仿宋_GB2312" w:cs="Times New Roman"/>
      <w:sz w:val="24"/>
    </w:rPr>
  </w:style>
  <w:style w:type="character" w:customStyle="1" w:styleId="328">
    <w:name w:val="apple-converted-space"/>
    <w:qFormat/>
    <w:uiPriority w:val="0"/>
    <w:rPr>
      <w:rFonts w:ascii="Times New Roman" w:hAnsi="Times New Roman" w:eastAsia="宋体" w:cs="Times New Roman"/>
    </w:rPr>
  </w:style>
  <w:style w:type="character" w:customStyle="1" w:styleId="329">
    <w:name w:val="纯文本 字符1"/>
    <w:qFormat/>
    <w:uiPriority w:val="0"/>
    <w:rPr>
      <w:rFonts w:ascii="宋体" w:hAnsi="Courier New" w:eastAsia="宋体" w:cs="Times New Roman"/>
      <w:kern w:val="2"/>
      <w:sz w:val="21"/>
    </w:rPr>
  </w:style>
  <w:style w:type="character" w:customStyle="1" w:styleId="330">
    <w:name w:val="纯文本 Char"/>
    <w:qFormat/>
    <w:uiPriority w:val="0"/>
    <w:rPr>
      <w:rFonts w:ascii="宋体" w:hAnsi="Courier New" w:eastAsia="华文宋体" w:cs="Times New Roman"/>
      <w:kern w:val="2"/>
      <w:sz w:val="28"/>
      <w:szCs w:val="22"/>
    </w:rPr>
  </w:style>
  <w:style w:type="character" w:customStyle="1" w:styleId="331">
    <w:name w:val="正文文本缩进 3 字符"/>
    <w:link w:val="36"/>
    <w:qFormat/>
    <w:uiPriority w:val="0"/>
    <w:rPr>
      <w:rFonts w:ascii="Times New Roman" w:hAnsi="Times New Roman" w:eastAsia="宋体" w:cs="Times New Roman"/>
      <w:kern w:val="2"/>
      <w:sz w:val="16"/>
      <w:szCs w:val="16"/>
    </w:rPr>
  </w:style>
  <w:style w:type="character" w:customStyle="1" w:styleId="332">
    <w:name w:val="信息标题 字符"/>
    <w:link w:val="40"/>
    <w:qFormat/>
    <w:uiPriority w:val="0"/>
    <w:rPr>
      <w:rFonts w:ascii="Cambria" w:hAnsi="Cambria" w:eastAsia="宋体" w:cs="Times New Roman"/>
      <w:kern w:val="2"/>
      <w:sz w:val="24"/>
      <w:szCs w:val="24"/>
      <w:shd w:val="pct20" w:color="auto" w:fill="auto"/>
    </w:rPr>
  </w:style>
  <w:style w:type="character" w:customStyle="1" w:styleId="333">
    <w:name w:val="批注框文本 字符"/>
    <w:link w:val="27"/>
    <w:qFormat/>
    <w:uiPriority w:val="0"/>
    <w:rPr>
      <w:rFonts w:ascii="Times New Roman" w:hAnsi="Times New Roman" w:eastAsia="宋体" w:cs="Times New Roman"/>
      <w:kern w:val="2"/>
      <w:sz w:val="18"/>
    </w:rPr>
  </w:style>
  <w:style w:type="character" w:customStyle="1" w:styleId="334">
    <w:name w:val="标题 字符"/>
    <w:link w:val="44"/>
    <w:qFormat/>
    <w:uiPriority w:val="10"/>
    <w:rPr>
      <w:rFonts w:ascii="Arial" w:hAnsi="Arial" w:eastAsia="宋体" w:cs="Times New Roman"/>
      <w:b/>
      <w:bCs/>
      <w:kern w:val="2"/>
      <w:sz w:val="32"/>
      <w:szCs w:val="32"/>
    </w:rPr>
  </w:style>
  <w:style w:type="character" w:customStyle="1" w:styleId="335">
    <w:name w:val="正文文本缩进 字符"/>
    <w:link w:val="19"/>
    <w:qFormat/>
    <w:uiPriority w:val="0"/>
    <w:rPr>
      <w:rFonts w:ascii="Times New Roman" w:hAnsi="Times New Roman" w:eastAsia="宋体" w:cs="Times New Roman"/>
      <w:kern w:val="2"/>
      <w:sz w:val="21"/>
    </w:rPr>
  </w:style>
  <w:style w:type="character" w:customStyle="1" w:styleId="336">
    <w:name w:val="标准正文 Char"/>
    <w:link w:val="65"/>
    <w:qFormat/>
    <w:uiPriority w:val="0"/>
    <w:rPr>
      <w:rFonts w:ascii="Times New Roman" w:hAnsi="Times New Roman" w:eastAsia="宋体" w:cs="Times New Roman"/>
      <w:kern w:val="2"/>
      <w:sz w:val="24"/>
    </w:rPr>
  </w:style>
  <w:style w:type="character" w:customStyle="1" w:styleId="337">
    <w:name w:val="标准文本 Char"/>
    <w:link w:val="66"/>
    <w:qFormat/>
    <w:uiPriority w:val="0"/>
    <w:rPr>
      <w:rFonts w:ascii="Times New Roman" w:hAnsi="Times New Roman" w:eastAsia="宋体" w:cs="宋体"/>
      <w:kern w:val="2"/>
      <w:sz w:val="24"/>
    </w:rPr>
  </w:style>
  <w:style w:type="character" w:customStyle="1" w:styleId="338">
    <w:name w:val="页眉 Char"/>
    <w:qFormat/>
    <w:uiPriority w:val="0"/>
    <w:rPr>
      <w:rFonts w:ascii="Times New Roman" w:hAnsi="Times New Roman" w:eastAsia="宋体" w:cs="Times New Roman"/>
      <w:kern w:val="2"/>
      <w:sz w:val="18"/>
      <w:szCs w:val="18"/>
    </w:rPr>
  </w:style>
  <w:style w:type="character" w:customStyle="1" w:styleId="339">
    <w:name w:val="纯文本 字符"/>
    <w:qFormat/>
    <w:uiPriority w:val="0"/>
    <w:rPr>
      <w:rFonts w:ascii="宋体" w:hAnsi="Courier New" w:eastAsia="宋体" w:cs="Times New Roman"/>
      <w:kern w:val="0"/>
      <w:sz w:val="21"/>
    </w:rPr>
  </w:style>
  <w:style w:type="character" w:customStyle="1" w:styleId="340">
    <w:name w:val="日期 字符"/>
    <w:link w:val="25"/>
    <w:qFormat/>
    <w:uiPriority w:val="0"/>
    <w:rPr>
      <w:rFonts w:ascii="Times New Roman" w:hAnsi="Times New Roman" w:eastAsia="宋体" w:cs="Times New Roman"/>
      <w:kern w:val="2"/>
      <w:sz w:val="21"/>
    </w:rPr>
  </w:style>
  <w:style w:type="character" w:customStyle="1" w:styleId="341">
    <w:name w:val="font01"/>
    <w:qFormat/>
    <w:uiPriority w:val="0"/>
    <w:rPr>
      <w:rFonts w:hint="eastAsia" w:ascii="宋体" w:hAnsi="宋体" w:eastAsia="宋体" w:cs="宋体"/>
      <w:color w:val="000000"/>
      <w:sz w:val="24"/>
      <w:szCs w:val="24"/>
      <w:u w:val="none"/>
    </w:rPr>
  </w:style>
  <w:style w:type="character" w:customStyle="1" w:styleId="342">
    <w:name w:val="标书-正文 Char"/>
    <w:link w:val="67"/>
    <w:qFormat/>
    <w:uiPriority w:val="0"/>
    <w:rPr>
      <w:rFonts w:ascii="Arial" w:hAnsi="Arial" w:eastAsia="宋体" w:cs="Arial"/>
      <w:kern w:val="2"/>
      <w:sz w:val="21"/>
    </w:rPr>
  </w:style>
  <w:style w:type="character" w:customStyle="1" w:styleId="343">
    <w:name w:val="标题 Char1"/>
    <w:qFormat/>
    <w:uiPriority w:val="0"/>
    <w:rPr>
      <w:rFonts w:ascii="Cambria" w:hAnsi="Cambria" w:eastAsia="宋体" w:cs="Times New Roman"/>
      <w:b/>
      <w:bCs/>
      <w:kern w:val="2"/>
      <w:sz w:val="32"/>
      <w:szCs w:val="32"/>
    </w:rPr>
  </w:style>
  <w:style w:type="character" w:customStyle="1" w:styleId="344">
    <w:name w:val="页眉 字符"/>
    <w:qFormat/>
    <w:uiPriority w:val="0"/>
    <w:rPr>
      <w:rFonts w:ascii="Times New Roman" w:hAnsi="Times New Roman" w:eastAsia="宋体" w:cs="Times New Roman"/>
    </w:rPr>
  </w:style>
  <w:style w:type="character" w:customStyle="1" w:styleId="345">
    <w:name w:val="签名 Char1"/>
    <w:qFormat/>
    <w:uiPriority w:val="0"/>
    <w:rPr>
      <w:rFonts w:ascii="Times New Roman" w:hAnsi="Times New Roman" w:eastAsia="宋体" w:cs="Times New Roman"/>
      <w:kern w:val="2"/>
      <w:sz w:val="21"/>
    </w:rPr>
  </w:style>
  <w:style w:type="character" w:customStyle="1" w:styleId="346">
    <w:name w:val="_Style 344"/>
    <w:qFormat/>
    <w:uiPriority w:val="0"/>
    <w:rPr>
      <w:rFonts w:ascii="Times New Roman" w:hAnsi="Times New Roman" w:eastAsia="宋体" w:cs="Times New Roman"/>
      <w:b/>
      <w:bCs/>
      <w:smallCaps/>
      <w:spacing w:val="5"/>
    </w:rPr>
  </w:style>
  <w:style w:type="character" w:customStyle="1" w:styleId="347">
    <w:name w:val="样式 首行缩进:  2 字符 + 宋体 Char"/>
    <w:link w:val="68"/>
    <w:qFormat/>
    <w:uiPriority w:val="0"/>
    <w:rPr>
      <w:rFonts w:ascii="宋体" w:hAnsi="宋体" w:eastAsia="宋体" w:cs="宋体"/>
      <w:kern w:val="2"/>
      <w:sz w:val="24"/>
    </w:rPr>
  </w:style>
  <w:style w:type="character" w:customStyle="1" w:styleId="348">
    <w:name w:val="批注主题 字符"/>
    <w:link w:val="45"/>
    <w:qFormat/>
    <w:uiPriority w:val="0"/>
    <w:rPr>
      <w:rFonts w:ascii="Times New Roman" w:hAnsi="Times New Roman" w:eastAsia="宋体" w:cs="Times New Roman"/>
      <w:b/>
      <w:kern w:val="2"/>
      <w:sz w:val="21"/>
    </w:rPr>
  </w:style>
  <w:style w:type="character" w:customStyle="1" w:styleId="349">
    <w:name w:val="NormalCharacter"/>
    <w:qFormat/>
    <w:uiPriority w:val="0"/>
    <w:rPr>
      <w:rFonts w:ascii="Times New Roman" w:hAnsi="Times New Roman" w:eastAsia="宋体" w:cs="Times New Roman"/>
    </w:rPr>
  </w:style>
  <w:style w:type="character" w:customStyle="1" w:styleId="350">
    <w:name w:val="批注文字 字符1"/>
    <w:qFormat/>
    <w:uiPriority w:val="0"/>
    <w:rPr>
      <w:rFonts w:ascii="Times New Roman" w:hAnsi="Times New Roman" w:eastAsia="宋体" w:cs="Times New Roman"/>
      <w:szCs w:val="24"/>
    </w:rPr>
  </w:style>
  <w:style w:type="character" w:customStyle="1" w:styleId="351">
    <w:name w:val="批注文字 字符2"/>
    <w:qFormat/>
    <w:uiPriority w:val="0"/>
    <w:rPr>
      <w:rFonts w:ascii="Times New Roman" w:hAnsi="Times New Roman" w:eastAsia="宋体" w:cs="Times New Roman"/>
      <w:sz w:val="24"/>
    </w:rPr>
  </w:style>
  <w:style w:type="character" w:customStyle="1" w:styleId="352">
    <w:name w:val="_Style 350"/>
    <w:qFormat/>
    <w:uiPriority w:val="0"/>
    <w:rPr>
      <w:rFonts w:ascii="Times New Roman" w:hAnsi="Times New Roman" w:eastAsia="宋体" w:cs="Times New Roman"/>
      <w:color w:val="605E5C"/>
      <w:shd w:val="clear" w:color="auto" w:fill="E1DFDD"/>
    </w:rPr>
  </w:style>
  <w:style w:type="character" w:customStyle="1" w:styleId="353">
    <w:name w:val="标题 1 字符"/>
    <w:qFormat/>
    <w:uiPriority w:val="0"/>
    <w:rPr>
      <w:rFonts w:ascii="Times New Roman" w:hAnsi="Times New Roman" w:eastAsia="宋体" w:cs="Times New Roman"/>
      <w:b/>
      <w:bCs/>
      <w:kern w:val="44"/>
      <w:sz w:val="44"/>
      <w:szCs w:val="44"/>
    </w:rPr>
  </w:style>
  <w:style w:type="character" w:customStyle="1" w:styleId="354">
    <w:name w:val="普通文字1 Char Char"/>
    <w:qFormat/>
    <w:uiPriority w:val="0"/>
    <w:rPr>
      <w:rFonts w:ascii="宋体" w:hAnsi="Courier New" w:eastAsia="宋体" w:cs="Times New Roman"/>
      <w:kern w:val="2"/>
      <w:sz w:val="21"/>
      <w:lang w:val="en-US" w:eastAsia="zh-CN" w:bidi="ar-SA"/>
    </w:rPr>
  </w:style>
  <w:style w:type="character" w:customStyle="1" w:styleId="355">
    <w:name w:val="批注主题 Char1"/>
    <w:qFormat/>
    <w:uiPriority w:val="0"/>
    <w:rPr>
      <w:rFonts w:ascii="Times New Roman" w:hAnsi="Times New Roman" w:eastAsia="宋体" w:cs="Times New Roman"/>
      <w:b/>
      <w:bCs/>
      <w:kern w:val="2"/>
      <w:sz w:val="21"/>
      <w:szCs w:val="24"/>
    </w:rPr>
  </w:style>
  <w:style w:type="character" w:customStyle="1" w:styleId="356">
    <w:name w:val="文档结构图 字符"/>
    <w:link w:val="14"/>
    <w:qFormat/>
    <w:uiPriority w:val="0"/>
    <w:rPr>
      <w:rFonts w:ascii="Times New Roman" w:hAnsi="Times New Roman" w:eastAsia="宋体" w:cs="Times New Roman"/>
      <w:kern w:val="2"/>
      <w:sz w:val="21"/>
      <w:shd w:val="clear" w:color="auto" w:fill="000080"/>
    </w:rPr>
  </w:style>
  <w:style w:type="character" w:customStyle="1" w:styleId="357">
    <w:name w:val="apple-style-span"/>
    <w:qFormat/>
    <w:uiPriority w:val="0"/>
    <w:rPr>
      <w:rFonts w:ascii="Times New Roman" w:hAnsi="Times New Roman" w:eastAsia="宋体" w:cs="Times New Roman"/>
    </w:rPr>
  </w:style>
  <w:style w:type="character" w:customStyle="1" w:styleId="358">
    <w:name w:val="列出段落 字符"/>
    <w:link w:val="69"/>
    <w:qFormat/>
    <w:uiPriority w:val="0"/>
    <w:rPr>
      <w:rFonts w:ascii="Calibri" w:hAnsi="Calibri" w:eastAsia="宋体" w:cs="Times New Roman"/>
      <w:kern w:val="2"/>
      <w:sz w:val="21"/>
      <w:szCs w:val="22"/>
    </w:rPr>
  </w:style>
  <w:style w:type="character" w:customStyle="1" w:styleId="359">
    <w:name w:val="正文文本首行缩进 字符"/>
    <w:link w:val="46"/>
    <w:qFormat/>
    <w:uiPriority w:val="0"/>
    <w:rPr>
      <w:rFonts w:ascii="Times New Roman" w:hAnsi="Times New Roman" w:eastAsia="宋体" w:cs="Times New Roman"/>
      <w:kern w:val="2"/>
      <w:sz w:val="21"/>
    </w:rPr>
  </w:style>
  <w:style w:type="character" w:customStyle="1" w:styleId="360">
    <w:name w:val="纯文本 Char2"/>
    <w:qFormat/>
    <w:uiPriority w:val="0"/>
    <w:rPr>
      <w:rFonts w:ascii="宋体" w:hAnsi="Courier New" w:eastAsia="宋体" w:cs="Times New Roman"/>
      <w:kern w:val="2"/>
      <w:sz w:val="21"/>
      <w:szCs w:val="21"/>
    </w:rPr>
  </w:style>
  <w:style w:type="character" w:customStyle="1" w:styleId="361">
    <w:name w:val="标题 3 Char"/>
    <w:qFormat/>
    <w:uiPriority w:val="0"/>
    <w:rPr>
      <w:rFonts w:hint="eastAsia" w:ascii="宋体" w:hAnsi="宋体" w:eastAsia="宋体" w:cs="Arial"/>
    </w:rPr>
  </w:style>
  <w:style w:type="character" w:customStyle="1" w:styleId="362">
    <w:name w:val="正文文本缩进 2 字符"/>
    <w:link w:val="26"/>
    <w:qFormat/>
    <w:uiPriority w:val="0"/>
    <w:rPr>
      <w:rFonts w:ascii="Times New Roman" w:hAnsi="Times New Roman" w:eastAsia="宋体" w:cs="Times New Roman"/>
      <w:kern w:val="2"/>
      <w:sz w:val="21"/>
    </w:rPr>
  </w:style>
  <w:style w:type="character" w:customStyle="1" w:styleId="363">
    <w:name w:val="9-121"/>
    <w:qFormat/>
    <w:uiPriority w:val="0"/>
    <w:rPr>
      <w:rFonts w:ascii="Times New Roman" w:hAnsi="Times New Roman" w:eastAsia="宋体" w:cs="Times New Roman"/>
      <w:sz w:val="18"/>
    </w:rPr>
  </w:style>
  <w:style w:type="character" w:customStyle="1" w:styleId="364">
    <w:name w:val="列表段落 字符"/>
    <w:link w:val="70"/>
    <w:qFormat/>
    <w:uiPriority w:val="0"/>
    <w:rPr>
      <w:rFonts w:ascii="Calibri" w:hAnsi="Calibri" w:eastAsia="宋体" w:cs="Times New Roman"/>
      <w:kern w:val="2"/>
      <w:sz w:val="21"/>
      <w:szCs w:val="22"/>
    </w:rPr>
  </w:style>
  <w:style w:type="character" w:customStyle="1" w:styleId="365">
    <w:name w:val="纯文本 Char1"/>
    <w:qFormat/>
    <w:uiPriority w:val="0"/>
    <w:rPr>
      <w:rFonts w:ascii="宋体" w:hAnsi="Courier New" w:eastAsia="宋体" w:cs="Times New Roman"/>
    </w:rPr>
  </w:style>
  <w:style w:type="character" w:customStyle="1" w:styleId="366">
    <w:name w:val="页脚 字符"/>
    <w:qFormat/>
    <w:uiPriority w:val="99"/>
    <w:rPr>
      <w:rFonts w:ascii="Calibri" w:hAnsi="Calibri" w:eastAsia="宋体" w:cs="Times New Roman"/>
      <w:kern w:val="0"/>
      <w:sz w:val="18"/>
    </w:rPr>
  </w:style>
  <w:style w:type="character" w:customStyle="1" w:styleId="367">
    <w:name w:val="段落正文 Char"/>
    <w:link w:val="71"/>
    <w:qFormat/>
    <w:uiPriority w:val="0"/>
    <w:rPr>
      <w:rFonts w:ascii="Times New Roman" w:hAnsi="Times New Roman" w:eastAsia="宋体" w:cs="Times New Roman"/>
      <w:spacing w:val="2"/>
      <w:kern w:val="2"/>
      <w:sz w:val="24"/>
      <w:szCs w:val="24"/>
      <w:lang w:val="zh-CN"/>
    </w:rPr>
  </w:style>
  <w:style w:type="character" w:customStyle="1" w:styleId="368">
    <w:name w:val="H1 Char"/>
    <w:qFormat/>
    <w:uiPriority w:val="0"/>
    <w:rPr>
      <w:rFonts w:ascii="宋体" w:hAnsi="Times New Roman" w:eastAsia="宋体" w:cs="Times New Roman"/>
      <w:b/>
      <w:kern w:val="44"/>
      <w:sz w:val="32"/>
      <w:szCs w:val="20"/>
    </w:rPr>
  </w:style>
  <w:style w:type="character" w:customStyle="1" w:styleId="369">
    <w:name w:val="列表段落 字符1"/>
    <w:qFormat/>
    <w:uiPriority w:val="0"/>
    <w:rPr>
      <w:rFonts w:ascii="Times New Roman" w:hAnsi="Times New Roman" w:eastAsia="宋体" w:cs="Times New Roman"/>
      <w:kern w:val="2"/>
      <w:sz w:val="21"/>
      <w:szCs w:val="24"/>
    </w:rPr>
  </w:style>
  <w:style w:type="character" w:customStyle="1" w:styleId="370">
    <w:name w:val="批注文字 Char1"/>
    <w:qFormat/>
    <w:uiPriority w:val="0"/>
    <w:rPr>
      <w:rFonts w:ascii="Times New Roman" w:hAnsi="Times New Roman" w:eastAsia="宋体" w:cs="Times New Roman"/>
      <w:kern w:val="2"/>
      <w:sz w:val="24"/>
      <w:szCs w:val="22"/>
    </w:rPr>
  </w:style>
  <w:style w:type="character" w:customStyle="1" w:styleId="371">
    <w:name w:val="彩色列表 - 着色 1 Char"/>
    <w:qFormat/>
    <w:uiPriority w:val="0"/>
    <w:rPr>
      <w:rFonts w:ascii="Times New Roman" w:hAnsi="Times New Roman" w:eastAsia="宋体" w:cs="Times New Roman"/>
      <w:kern w:val="2"/>
      <w:sz w:val="21"/>
      <w:szCs w:val="22"/>
    </w:rPr>
  </w:style>
  <w:style w:type="character" w:customStyle="1" w:styleId="372">
    <w:name w:val="批注文字 字符"/>
    <w:qFormat/>
    <w:uiPriority w:val="99"/>
    <w:rPr>
      <w:rFonts w:ascii="Times New Roman" w:hAnsi="Times New Roman" w:eastAsia="宋体" w:cs="Times New Roman"/>
      <w:kern w:val="0"/>
      <w:sz w:val="24"/>
    </w:rPr>
  </w:style>
  <w:style w:type="character" w:styleId="373">
    <w:name w:val="Placeholder Text"/>
    <w:basedOn w:val="52"/>
    <w:unhideWhenUsed/>
    <w:qFormat/>
    <w:uiPriority w:val="99"/>
    <w:rPr>
      <w:color w:val="808080"/>
    </w:rPr>
  </w:style>
  <w:style w:type="character" w:customStyle="1" w:styleId="374">
    <w:name w:val="批注文字 Char"/>
    <w:qFormat/>
    <w:uiPriority w:val="0"/>
    <w:rPr>
      <w:kern w:val="2"/>
      <w:sz w:val="21"/>
      <w:szCs w:val="24"/>
    </w:rPr>
  </w:style>
  <w:style w:type="paragraph" w:customStyle="1" w:styleId="375">
    <w:name w:val="无间隔3"/>
    <w:qFormat/>
    <w:uiPriority w:val="1"/>
    <w:pPr>
      <w:widowControl w:val="0"/>
    </w:pPr>
    <w:rPr>
      <w:rFonts w:ascii="Calibri" w:hAnsi="Calibri" w:eastAsia="宋体" w:cs="宋体"/>
      <w:kern w:val="2"/>
      <w:sz w:val="21"/>
      <w:szCs w:val="22"/>
      <w:lang w:val="en-US" w:eastAsia="zh-CN" w:bidi="ar-SA"/>
    </w:rPr>
  </w:style>
  <w:style w:type="character" w:customStyle="1" w:styleId="376">
    <w:name w:val="正文2 Char"/>
    <w:link w:val="84"/>
    <w:qFormat/>
    <w:uiPriority w:val="0"/>
    <w:rPr>
      <w:kern w:val="2"/>
      <w:sz w:val="24"/>
    </w:rPr>
  </w:style>
  <w:style w:type="character" w:customStyle="1" w:styleId="377">
    <w:name w:val="正文文本 (2)_"/>
    <w:link w:val="378"/>
    <w:qFormat/>
    <w:locked/>
    <w:uiPriority w:val="99"/>
    <w:rPr>
      <w:rFonts w:ascii="微软雅黑" w:hAnsi="微软雅黑" w:eastAsia="微软雅黑" w:cs="微软雅黑"/>
      <w:shd w:val="clear" w:color="auto" w:fill="FFFFFF"/>
    </w:rPr>
  </w:style>
  <w:style w:type="paragraph" w:customStyle="1" w:styleId="378">
    <w:name w:val="正文文本 (2)"/>
    <w:basedOn w:val="1"/>
    <w:link w:val="377"/>
    <w:qFormat/>
    <w:uiPriority w:val="99"/>
    <w:pPr>
      <w:shd w:val="clear" w:color="auto" w:fill="FFFFFF"/>
      <w:spacing w:line="395" w:lineRule="exact"/>
      <w:ind w:firstLine="440"/>
      <w:jc w:val="distribute"/>
    </w:pPr>
    <w:rPr>
      <w:rFonts w:ascii="微软雅黑" w:hAnsi="微软雅黑" w:eastAsia="微软雅黑" w:cs="微软雅黑"/>
      <w:kern w:val="0"/>
      <w:sz w:val="20"/>
    </w:rPr>
  </w:style>
  <w:style w:type="paragraph" w:customStyle="1" w:styleId="379">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380">
    <w:name w:val="列出段落 字符1"/>
    <w:link w:val="381"/>
    <w:qFormat/>
    <w:locked/>
    <w:uiPriority w:val="99"/>
    <w:rPr>
      <w:rFonts w:ascii="Calibri" w:hAnsi="Calibri"/>
      <w:kern w:val="2"/>
      <w:sz w:val="21"/>
    </w:rPr>
  </w:style>
  <w:style w:type="paragraph" w:customStyle="1" w:styleId="381">
    <w:name w:val="_Style 379"/>
    <w:basedOn w:val="1"/>
    <w:next w:val="63"/>
    <w:link w:val="380"/>
    <w:qFormat/>
    <w:uiPriority w:val="99"/>
    <w:pPr>
      <w:spacing w:line="360" w:lineRule="auto"/>
      <w:ind w:firstLine="420" w:firstLineChars="200"/>
    </w:pPr>
    <w:rPr>
      <w:rFonts w:ascii="Calibri" w:hAnsi="Calibri"/>
    </w:rPr>
  </w:style>
  <w:style w:type="paragraph" w:customStyle="1" w:styleId="382">
    <w:name w:val="修订2"/>
    <w:hidden/>
    <w:semiHidden/>
    <w:qFormat/>
    <w:uiPriority w:val="99"/>
    <w:rPr>
      <w:rFonts w:ascii="Times New Roman" w:hAnsi="Times New Roman" w:eastAsia="宋体" w:cs="Times New Roman"/>
      <w:kern w:val="2"/>
      <w:sz w:val="21"/>
      <w:lang w:val="en-US" w:eastAsia="zh-CN" w:bidi="ar-SA"/>
    </w:rPr>
  </w:style>
  <w:style w:type="paragraph" w:customStyle="1" w:styleId="383">
    <w:name w:val="修订3"/>
    <w:hidden/>
    <w:semiHidden/>
    <w:uiPriority w:val="99"/>
    <w:rPr>
      <w:rFonts w:ascii="Times New Roman" w:hAnsi="Times New Roman" w:eastAsia="宋体" w:cs="Times New Roman"/>
      <w:kern w:val="2"/>
      <w:sz w:val="21"/>
      <w:lang w:val="en-US" w:eastAsia="zh-CN" w:bidi="ar-SA"/>
    </w:rPr>
  </w:style>
  <w:style w:type="paragraph" w:customStyle="1" w:styleId="38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85">
    <w:name w:val="修订4"/>
    <w:hidden/>
    <w:semiHidden/>
    <w:uiPriority w:val="99"/>
    <w:rPr>
      <w:rFonts w:ascii="Times New Roman" w:hAnsi="Times New Roman" w:eastAsia="宋体" w:cs="Times New Roman"/>
      <w:kern w:val="2"/>
      <w:sz w:val="21"/>
      <w:lang w:val="en-US" w:eastAsia="zh-CN" w:bidi="ar-SA"/>
    </w:rPr>
  </w:style>
  <w:style w:type="character" w:customStyle="1" w:styleId="386">
    <w:name w:val="未处理的提及1"/>
    <w:basedOn w:val="52"/>
    <w:semiHidden/>
    <w:unhideWhenUsed/>
    <w:uiPriority w:val="99"/>
    <w:rPr>
      <w:color w:val="605E5C"/>
      <w:shd w:val="clear" w:color="auto" w:fill="E1DFDD"/>
    </w:rPr>
  </w:style>
  <w:style w:type="paragraph" w:customStyle="1" w:styleId="387">
    <w:name w:val="Revision"/>
    <w:hidden/>
    <w:semiHidden/>
    <w:uiPriority w:val="99"/>
    <w:rPr>
      <w:rFonts w:ascii="Times New Roman" w:hAnsi="Times New Roman" w:eastAsia="宋体" w:cs="Times New Roman"/>
      <w:kern w:val="2"/>
      <w:sz w:val="21"/>
      <w:lang w:val="en-US" w:eastAsia="zh-CN" w:bidi="ar-SA"/>
    </w:rPr>
  </w:style>
  <w:style w:type="character" w:customStyle="1" w:styleId="388">
    <w:name w:val="正文文本首行缩进 2 字符"/>
    <w:basedOn w:val="335"/>
    <w:link w:val="47"/>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7E171-55D3-4274-BC31-A508ED1D119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5649</Words>
  <Characters>32200</Characters>
  <Lines>268</Lines>
  <Paragraphs>75</Paragraphs>
  <TotalTime>29</TotalTime>
  <ScaleCrop>false</ScaleCrop>
  <LinksUpToDate>false</LinksUpToDate>
  <CharactersWithSpaces>37774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2023-09-20T02:38:00Z</dcterms:created>
  <dc:creator>张</dc:creator>
  <cp:lastModifiedBy>高洪浩</cp:lastModifiedBy>
  <cp:lastPrinted>2022-03-31T07:59:00Z</cp:lastPrinted>
  <dcterms:modified xsi:type="dcterms:W3CDTF">2023-09-21T07:02:47Z</dcterms:modified>
  <dc:title>北京市公安局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0C83BB42705D4D2792F84628BC602498</vt:lpwstr>
  </property>
</Properties>
</file>